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F6" w:rsidRPr="002C7559" w:rsidRDefault="008F5939" w:rsidP="00600249">
      <w:pPr>
        <w:pBdr>
          <w:top w:val="single" w:sz="4" w:space="1" w:color="auto"/>
        </w:pBdr>
        <w:jc w:val="center"/>
        <w:rPr>
          <w:b/>
          <w:szCs w:val="20"/>
        </w:rPr>
      </w:pPr>
      <w:r>
        <w:rPr>
          <w:b/>
          <w:szCs w:val="20"/>
        </w:rPr>
        <w:t xml:space="preserve"> </w:t>
      </w:r>
    </w:p>
    <w:p w:rsidR="0040381B" w:rsidRDefault="0040381B" w:rsidP="0088010E">
      <w:pPr>
        <w:jc w:val="center"/>
        <w:rPr>
          <w:b/>
          <w:szCs w:val="20"/>
        </w:rPr>
      </w:pPr>
    </w:p>
    <w:p w:rsidR="0040381B" w:rsidRDefault="0040381B" w:rsidP="0088010E">
      <w:pPr>
        <w:jc w:val="center"/>
        <w:rPr>
          <w:b/>
          <w:szCs w:val="20"/>
        </w:rPr>
      </w:pPr>
    </w:p>
    <w:p w:rsidR="0088010E" w:rsidRPr="00EE54A7" w:rsidRDefault="008F30BC" w:rsidP="0088010E">
      <w:pPr>
        <w:jc w:val="center"/>
        <w:rPr>
          <w:b/>
          <w:sz w:val="32"/>
          <w:szCs w:val="32"/>
        </w:rPr>
      </w:pPr>
      <w:r>
        <w:rPr>
          <w:b/>
          <w:sz w:val="32"/>
          <w:szCs w:val="32"/>
        </w:rPr>
        <w:t xml:space="preserve">Fact Sheet:  </w:t>
      </w:r>
      <w:r w:rsidR="0088010E" w:rsidRPr="00EE54A7">
        <w:rPr>
          <w:b/>
          <w:sz w:val="32"/>
          <w:szCs w:val="32"/>
        </w:rPr>
        <w:t>Return on Investment of CTE</w:t>
      </w:r>
    </w:p>
    <w:p w:rsidR="00836EF6" w:rsidRDefault="00836EF6" w:rsidP="002C7559">
      <w:pPr>
        <w:rPr>
          <w:szCs w:val="20"/>
        </w:rPr>
      </w:pPr>
    </w:p>
    <w:p w:rsidR="0040381B" w:rsidRDefault="0040381B" w:rsidP="002C7559">
      <w:pPr>
        <w:rPr>
          <w:szCs w:val="20"/>
        </w:rPr>
      </w:pPr>
    </w:p>
    <w:p w:rsidR="0040381B" w:rsidRPr="002C7559" w:rsidRDefault="0040381B" w:rsidP="002C7559">
      <w:pPr>
        <w:rPr>
          <w:szCs w:val="20"/>
        </w:rPr>
      </w:pPr>
    </w:p>
    <w:p w:rsidR="00F23881" w:rsidRPr="0040381B" w:rsidRDefault="00F23881" w:rsidP="00F23881">
      <w:pPr>
        <w:rPr>
          <w:b/>
          <w:sz w:val="22"/>
        </w:rPr>
      </w:pPr>
      <w:r w:rsidRPr="0040381B">
        <w:rPr>
          <w:b/>
          <w:sz w:val="22"/>
        </w:rPr>
        <w:t>Revenue/Economic Impact</w:t>
      </w:r>
    </w:p>
    <w:p w:rsidR="0088010E" w:rsidRPr="0040381B" w:rsidRDefault="0088010E" w:rsidP="0088010E">
      <w:pPr>
        <w:rPr>
          <w:sz w:val="22"/>
        </w:rPr>
      </w:pPr>
    </w:p>
    <w:p w:rsidR="00C84E92" w:rsidRPr="0040381B" w:rsidRDefault="0088010E" w:rsidP="0088010E">
      <w:pPr>
        <w:rPr>
          <w:sz w:val="22"/>
        </w:rPr>
      </w:pPr>
      <w:r w:rsidRPr="0040381B">
        <w:rPr>
          <w:sz w:val="22"/>
        </w:rPr>
        <w:t>The return on investment over the lifetime of a secondary CTE completer in the state of Washington is 43.97%.  (A CTE completer is a student who has completed 360 hours of sequenced vocational classes, approximately 2.4 credits.)</w:t>
      </w:r>
      <w:r w:rsidR="00E4241E" w:rsidRPr="0040381B">
        <w:rPr>
          <w:sz w:val="22"/>
        </w:rPr>
        <w:t xml:space="preserve"> </w:t>
      </w:r>
      <w:r w:rsidR="00C84E92" w:rsidRPr="0040381B">
        <w:rPr>
          <w:rStyle w:val="FootnoteReference"/>
          <w:sz w:val="22"/>
        </w:rPr>
        <w:footnoteReference w:id="1"/>
      </w:r>
    </w:p>
    <w:p w:rsidR="00C84E92" w:rsidRPr="0040381B" w:rsidRDefault="00C84E92" w:rsidP="002C7559">
      <w:pPr>
        <w:rPr>
          <w:sz w:val="22"/>
        </w:rPr>
      </w:pPr>
    </w:p>
    <w:p w:rsidR="00C84E92" w:rsidRPr="0040381B" w:rsidRDefault="00C84E92" w:rsidP="0088010E">
      <w:pPr>
        <w:rPr>
          <w:sz w:val="22"/>
        </w:rPr>
      </w:pPr>
      <w:r w:rsidRPr="0040381B">
        <w:rPr>
          <w:sz w:val="22"/>
        </w:rPr>
        <w:t>In Washington, for every dollar invested in secondary CTE</w:t>
      </w:r>
      <w:r w:rsidRPr="0040381B">
        <w:rPr>
          <w:i/>
          <w:sz w:val="22"/>
        </w:rPr>
        <w:t xml:space="preserve"> </w:t>
      </w:r>
      <w:r w:rsidRPr="0040381B">
        <w:rPr>
          <w:sz w:val="22"/>
        </w:rPr>
        <w:t xml:space="preserve">programs, taxpayers receive $9 in revenues and benefits. </w:t>
      </w:r>
      <w:r w:rsidRPr="0040381B">
        <w:rPr>
          <w:rStyle w:val="FootnoteReference"/>
          <w:sz w:val="22"/>
        </w:rPr>
        <w:footnoteReference w:id="2"/>
      </w:r>
    </w:p>
    <w:p w:rsidR="00C84E92" w:rsidRPr="0040381B" w:rsidRDefault="00C84E92" w:rsidP="002C7559">
      <w:pPr>
        <w:rPr>
          <w:sz w:val="22"/>
        </w:rPr>
      </w:pPr>
    </w:p>
    <w:p w:rsidR="00C84E92" w:rsidRPr="0040381B" w:rsidRDefault="00C84E92" w:rsidP="00F23881">
      <w:pPr>
        <w:rPr>
          <w:sz w:val="22"/>
        </w:rPr>
      </w:pPr>
      <w:r w:rsidRPr="0040381B">
        <w:rPr>
          <w:sz w:val="22"/>
        </w:rPr>
        <w:t xml:space="preserve">At the secondary level, Tennessee CTE program completers account for more than $13 million in annual tax revenues. </w:t>
      </w:r>
      <w:r w:rsidRPr="0040381B">
        <w:rPr>
          <w:rStyle w:val="FootnoteReference"/>
          <w:sz w:val="22"/>
        </w:rPr>
        <w:footnoteReference w:id="3"/>
      </w:r>
    </w:p>
    <w:p w:rsidR="00C84E92" w:rsidRPr="0040381B" w:rsidRDefault="00C84E92" w:rsidP="002C7559">
      <w:pPr>
        <w:rPr>
          <w:sz w:val="22"/>
        </w:rPr>
      </w:pPr>
    </w:p>
    <w:p w:rsidR="00C84E92" w:rsidRPr="0040381B" w:rsidRDefault="00C84E92" w:rsidP="00F23881">
      <w:pPr>
        <w:rPr>
          <w:sz w:val="22"/>
        </w:rPr>
      </w:pPr>
      <w:r w:rsidRPr="0040381B">
        <w:rPr>
          <w:sz w:val="22"/>
        </w:rPr>
        <w:t>An estimated 1.3 million students across all fifty states and the District of Columbia dropped out from the Class of 2010 at great cost to themselves and to their communities. Cutting in half the number of each state’s dropouts for this single high school class could result in tremendous economic benefits. Below are the contributions that these 650,000 “new graduates” would likely make to the economy:</w:t>
      </w:r>
    </w:p>
    <w:p w:rsidR="00C84E92" w:rsidRPr="00E7395F" w:rsidRDefault="00C84E92" w:rsidP="00F23881">
      <w:pPr>
        <w:rPr>
          <w:sz w:val="32"/>
        </w:rPr>
      </w:pPr>
    </w:p>
    <w:p w:rsidR="00C84E92" w:rsidRDefault="00C84E92" w:rsidP="00F23881">
      <w:pPr>
        <w:numPr>
          <w:ilvl w:val="0"/>
          <w:numId w:val="1"/>
        </w:numPr>
        <w:rPr>
          <w:sz w:val="22"/>
        </w:rPr>
      </w:pPr>
      <w:r w:rsidRPr="0040381B">
        <w:rPr>
          <w:sz w:val="22"/>
        </w:rPr>
        <w:t>$7.6 Billion in Increased Earnings;</w:t>
      </w:r>
    </w:p>
    <w:p w:rsidR="00C84E92" w:rsidRPr="00E7395F" w:rsidRDefault="00C84E92" w:rsidP="00E7395F">
      <w:pPr>
        <w:ind w:left="720"/>
        <w:rPr>
          <w:sz w:val="14"/>
        </w:rPr>
      </w:pPr>
    </w:p>
    <w:p w:rsidR="00C84E92" w:rsidRDefault="00C84E92" w:rsidP="00F23881">
      <w:pPr>
        <w:numPr>
          <w:ilvl w:val="0"/>
          <w:numId w:val="1"/>
        </w:numPr>
        <w:rPr>
          <w:sz w:val="22"/>
        </w:rPr>
      </w:pPr>
      <w:r w:rsidRPr="0040381B">
        <w:rPr>
          <w:sz w:val="22"/>
        </w:rPr>
        <w:t>$5.6 Billion in Increased Spending;</w:t>
      </w:r>
    </w:p>
    <w:p w:rsidR="00C84E92" w:rsidRPr="00E7395F" w:rsidRDefault="00C84E92" w:rsidP="00E7395F">
      <w:pPr>
        <w:ind w:left="720"/>
        <w:rPr>
          <w:sz w:val="14"/>
        </w:rPr>
      </w:pPr>
    </w:p>
    <w:p w:rsidR="00C84E92" w:rsidRDefault="00C84E92" w:rsidP="00F23881">
      <w:pPr>
        <w:numPr>
          <w:ilvl w:val="0"/>
          <w:numId w:val="1"/>
        </w:numPr>
        <w:rPr>
          <w:sz w:val="22"/>
        </w:rPr>
      </w:pPr>
      <w:r w:rsidRPr="0040381B">
        <w:rPr>
          <w:sz w:val="22"/>
        </w:rPr>
        <w:t>54,000 New Jobs;</w:t>
      </w:r>
    </w:p>
    <w:p w:rsidR="00C84E92" w:rsidRPr="00E7395F" w:rsidRDefault="00C84E92" w:rsidP="00E7395F">
      <w:pPr>
        <w:ind w:left="720"/>
        <w:rPr>
          <w:sz w:val="14"/>
        </w:rPr>
      </w:pPr>
    </w:p>
    <w:p w:rsidR="00C84E92" w:rsidRDefault="00C84E92" w:rsidP="00F23881">
      <w:pPr>
        <w:numPr>
          <w:ilvl w:val="0"/>
          <w:numId w:val="1"/>
        </w:numPr>
        <w:rPr>
          <w:sz w:val="22"/>
        </w:rPr>
      </w:pPr>
      <w:r w:rsidRPr="0040381B">
        <w:rPr>
          <w:sz w:val="22"/>
        </w:rPr>
        <w:t>$9.6 Billion in Economic Growth; and</w:t>
      </w:r>
    </w:p>
    <w:p w:rsidR="00C84E92" w:rsidRPr="00E7395F" w:rsidRDefault="00C84E92" w:rsidP="00E7395F">
      <w:pPr>
        <w:ind w:left="720"/>
        <w:rPr>
          <w:sz w:val="14"/>
        </w:rPr>
      </w:pPr>
    </w:p>
    <w:p w:rsidR="00C84E92" w:rsidRDefault="00C84E92" w:rsidP="0040381B">
      <w:pPr>
        <w:numPr>
          <w:ilvl w:val="0"/>
          <w:numId w:val="1"/>
        </w:numPr>
        <w:rPr>
          <w:sz w:val="22"/>
        </w:rPr>
      </w:pPr>
      <w:r w:rsidRPr="0040381B">
        <w:rPr>
          <w:sz w:val="22"/>
        </w:rPr>
        <w:t xml:space="preserve">$713 Million in Increased Tax Revenue. </w:t>
      </w:r>
      <w:r w:rsidRPr="0040381B">
        <w:rPr>
          <w:rStyle w:val="FootnoteReference"/>
          <w:sz w:val="22"/>
        </w:rPr>
        <w:footnoteReference w:id="4"/>
      </w:r>
    </w:p>
    <w:p w:rsidR="00600249" w:rsidRDefault="00600249">
      <w:pPr>
        <w:rPr>
          <w:sz w:val="22"/>
        </w:rPr>
      </w:pPr>
      <w:r>
        <w:rPr>
          <w:sz w:val="22"/>
        </w:rPr>
        <w:br w:type="page"/>
      </w:r>
    </w:p>
    <w:p w:rsidR="00600249" w:rsidRPr="00600249" w:rsidRDefault="00600249" w:rsidP="00600249">
      <w:pPr>
        <w:pBdr>
          <w:top w:val="single" w:sz="4" w:space="1" w:color="auto"/>
        </w:pBdr>
        <w:rPr>
          <w:b/>
          <w:sz w:val="8"/>
        </w:rPr>
      </w:pPr>
    </w:p>
    <w:p w:rsidR="00C84E92" w:rsidRPr="0040381B" w:rsidRDefault="00C84E92" w:rsidP="00600249">
      <w:pPr>
        <w:pBdr>
          <w:top w:val="single" w:sz="4" w:space="1" w:color="auto"/>
        </w:pBdr>
        <w:rPr>
          <w:b/>
          <w:sz w:val="22"/>
        </w:rPr>
      </w:pPr>
      <w:r w:rsidRPr="0040381B">
        <w:rPr>
          <w:b/>
          <w:sz w:val="22"/>
        </w:rPr>
        <w:t>Graduation Rates</w:t>
      </w:r>
    </w:p>
    <w:p w:rsidR="00C84E92" w:rsidRPr="00600249" w:rsidRDefault="00C84E92" w:rsidP="0088010E">
      <w:pPr>
        <w:rPr>
          <w:sz w:val="14"/>
        </w:rPr>
      </w:pPr>
    </w:p>
    <w:p w:rsidR="00C84E92" w:rsidRPr="0040381B" w:rsidRDefault="00C84E92" w:rsidP="00F23881">
      <w:pPr>
        <w:rPr>
          <w:sz w:val="22"/>
        </w:rPr>
      </w:pPr>
      <w:r w:rsidRPr="0040381B">
        <w:rPr>
          <w:sz w:val="22"/>
        </w:rPr>
        <w:t>The average high school graduation rate in 2012 for CTE concentrators was 93</w:t>
      </w:r>
      <w:r w:rsidR="009C5220">
        <w:rPr>
          <w:sz w:val="22"/>
        </w:rPr>
        <w:t>%</w:t>
      </w:r>
      <w:r w:rsidRPr="0040381B">
        <w:rPr>
          <w:sz w:val="22"/>
        </w:rPr>
        <w:t>, compared to the national adjusted coho</w:t>
      </w:r>
      <w:r w:rsidR="009C5220">
        <w:rPr>
          <w:sz w:val="22"/>
        </w:rPr>
        <w:t>rt graduation rate of 80%</w:t>
      </w:r>
      <w:r w:rsidRPr="0040381B">
        <w:rPr>
          <w:sz w:val="22"/>
        </w:rPr>
        <w:t xml:space="preserve">. </w:t>
      </w:r>
      <w:r w:rsidRPr="0040381B">
        <w:rPr>
          <w:rStyle w:val="FootnoteReference"/>
          <w:sz w:val="22"/>
        </w:rPr>
        <w:footnoteReference w:id="5"/>
      </w:r>
    </w:p>
    <w:p w:rsidR="00C84E92" w:rsidRPr="00EE54A7" w:rsidRDefault="00C84E92" w:rsidP="002C7559"/>
    <w:p w:rsidR="00C84E92" w:rsidRPr="0040381B" w:rsidRDefault="00C84E92" w:rsidP="00F23881">
      <w:pPr>
        <w:rPr>
          <w:sz w:val="22"/>
        </w:rPr>
      </w:pPr>
      <w:r w:rsidRPr="0040381B">
        <w:rPr>
          <w:sz w:val="22"/>
        </w:rPr>
        <w:t xml:space="preserve">The 2013-2014 four-year cohort graduation rate for CTE concentrators in Oregon was 85.7%; for all students (including CTE concentrators) it was 76.4%.  (An Oregon CTE concentrator is a student who has earned one or more credits in a technical skill course(s) </w:t>
      </w:r>
      <w:r>
        <w:rPr>
          <w:sz w:val="22"/>
        </w:rPr>
        <w:t xml:space="preserve">within </w:t>
      </w:r>
      <w:r w:rsidRPr="0040381B">
        <w:rPr>
          <w:sz w:val="22"/>
        </w:rPr>
        <w:t>an Oregon state-approved CTE Program of Study.)</w:t>
      </w:r>
    </w:p>
    <w:p w:rsidR="00C84E92" w:rsidRPr="00600249" w:rsidRDefault="00C84E92" w:rsidP="00F23881">
      <w:pPr>
        <w:rPr>
          <w:sz w:val="10"/>
        </w:rPr>
      </w:pPr>
    </w:p>
    <w:p w:rsidR="00C84E92" w:rsidRDefault="00C84E92" w:rsidP="00F23881">
      <w:pPr>
        <w:rPr>
          <w:sz w:val="22"/>
        </w:rPr>
      </w:pPr>
      <w:r w:rsidRPr="0040381B">
        <w:rPr>
          <w:sz w:val="22"/>
        </w:rPr>
        <w:t>Costs of Oregon Dropouts:</w:t>
      </w:r>
    </w:p>
    <w:p w:rsidR="009C5220" w:rsidRPr="009C5220" w:rsidRDefault="009C5220" w:rsidP="00F23881">
      <w:pPr>
        <w:rPr>
          <w:sz w:val="6"/>
        </w:rPr>
      </w:pPr>
    </w:p>
    <w:p w:rsidR="00C84E92" w:rsidRPr="00136146" w:rsidRDefault="00C84E92" w:rsidP="00F23881">
      <w:pPr>
        <w:pStyle w:val="ListParagraph"/>
        <w:numPr>
          <w:ilvl w:val="0"/>
          <w:numId w:val="2"/>
        </w:numPr>
        <w:rPr>
          <w:sz w:val="22"/>
        </w:rPr>
      </w:pPr>
      <w:r w:rsidRPr="0040381B">
        <w:rPr>
          <w:sz w:val="22"/>
        </w:rPr>
        <w:t>Approximately $173 million in tax revenues is lost each year due to the decreased earnings of high school dropouts.</w:t>
      </w:r>
    </w:p>
    <w:p w:rsidR="00C84E92" w:rsidRPr="00136146" w:rsidRDefault="00C84E92" w:rsidP="00136146">
      <w:pPr>
        <w:pStyle w:val="ListParagraph"/>
        <w:rPr>
          <w:sz w:val="8"/>
        </w:rPr>
      </w:pPr>
    </w:p>
    <w:p w:rsidR="00C84E92" w:rsidRDefault="00C84E92" w:rsidP="00F23881">
      <w:pPr>
        <w:pStyle w:val="ListParagraph"/>
        <w:numPr>
          <w:ilvl w:val="0"/>
          <w:numId w:val="2"/>
        </w:numPr>
        <w:rPr>
          <w:sz w:val="22"/>
        </w:rPr>
      </w:pPr>
      <w:r w:rsidRPr="0040381B">
        <w:rPr>
          <w:sz w:val="22"/>
        </w:rPr>
        <w:t>Oregon’s dropouts are twice as likely as graduates to depend on Medicaid.</w:t>
      </w:r>
    </w:p>
    <w:p w:rsidR="00C84E92" w:rsidRPr="00136146" w:rsidRDefault="00C84E92" w:rsidP="00136146">
      <w:pPr>
        <w:pStyle w:val="ListParagraph"/>
        <w:rPr>
          <w:sz w:val="10"/>
        </w:rPr>
      </w:pPr>
    </w:p>
    <w:p w:rsidR="00C84E92" w:rsidRDefault="00C84E92" w:rsidP="00F23881">
      <w:pPr>
        <w:pStyle w:val="ListParagraph"/>
        <w:numPr>
          <w:ilvl w:val="0"/>
          <w:numId w:val="2"/>
        </w:numPr>
        <w:rPr>
          <w:sz w:val="22"/>
        </w:rPr>
      </w:pPr>
      <w:r w:rsidRPr="0040381B">
        <w:rPr>
          <w:sz w:val="22"/>
        </w:rPr>
        <w:t>Higher Medicaid use by dropouts costs Oregon nearly $219 million per year.</w:t>
      </w:r>
    </w:p>
    <w:p w:rsidR="00C84E92" w:rsidRPr="00136146" w:rsidRDefault="00C84E92" w:rsidP="00136146">
      <w:pPr>
        <w:pStyle w:val="ListParagraph"/>
        <w:rPr>
          <w:sz w:val="10"/>
        </w:rPr>
      </w:pPr>
    </w:p>
    <w:p w:rsidR="00C84E92" w:rsidRDefault="00C84E92" w:rsidP="00F23881">
      <w:pPr>
        <w:pStyle w:val="ListParagraph"/>
        <w:numPr>
          <w:ilvl w:val="0"/>
          <w:numId w:val="2"/>
        </w:numPr>
        <w:rPr>
          <w:sz w:val="22"/>
        </w:rPr>
      </w:pPr>
      <w:r w:rsidRPr="0040381B">
        <w:rPr>
          <w:sz w:val="22"/>
        </w:rPr>
        <w:t>Over their collective lifetimes, Oregon’s population of dropouts will cost the state $2.1 billion in lost taxable revenues.</w:t>
      </w:r>
    </w:p>
    <w:p w:rsidR="00C84E92" w:rsidRPr="00136146" w:rsidRDefault="00C84E92" w:rsidP="00136146">
      <w:pPr>
        <w:pStyle w:val="ListParagraph"/>
        <w:rPr>
          <w:sz w:val="10"/>
        </w:rPr>
      </w:pPr>
    </w:p>
    <w:p w:rsidR="00C84E92" w:rsidRPr="0040381B" w:rsidRDefault="00C84E92" w:rsidP="00F23881">
      <w:pPr>
        <w:pStyle w:val="ListParagraph"/>
        <w:numPr>
          <w:ilvl w:val="0"/>
          <w:numId w:val="2"/>
        </w:numPr>
        <w:rPr>
          <w:sz w:val="22"/>
        </w:rPr>
      </w:pPr>
      <w:r w:rsidRPr="0040381B">
        <w:rPr>
          <w:sz w:val="22"/>
        </w:rPr>
        <w:t xml:space="preserve">Oregon can save up to $37 million each year in incarceration costs by increasing graduation rates (thereby lowering incarceration rates). </w:t>
      </w:r>
      <w:r w:rsidRPr="0040381B">
        <w:rPr>
          <w:rStyle w:val="FootnoteReference"/>
          <w:sz w:val="22"/>
        </w:rPr>
        <w:footnoteReference w:id="6"/>
      </w:r>
    </w:p>
    <w:p w:rsidR="00C84E92" w:rsidRPr="00600249" w:rsidRDefault="00C84E92" w:rsidP="0088010E">
      <w:pPr>
        <w:rPr>
          <w:sz w:val="18"/>
        </w:rPr>
      </w:pPr>
    </w:p>
    <w:p w:rsidR="00C84E92" w:rsidRPr="0040381B" w:rsidRDefault="00C84E92" w:rsidP="0088010E">
      <w:pPr>
        <w:rPr>
          <w:sz w:val="22"/>
        </w:rPr>
      </w:pPr>
      <w:r w:rsidRPr="0040381B">
        <w:rPr>
          <w:b/>
          <w:sz w:val="22"/>
        </w:rPr>
        <w:t>Employment, Earnings and College/Career-Readiness</w:t>
      </w:r>
      <w:r w:rsidRPr="0040381B">
        <w:rPr>
          <w:sz w:val="22"/>
        </w:rPr>
        <w:t xml:space="preserve"> </w:t>
      </w:r>
    </w:p>
    <w:p w:rsidR="00C84E92" w:rsidRPr="00600249" w:rsidRDefault="00C84E92" w:rsidP="0088010E">
      <w:pPr>
        <w:rPr>
          <w:sz w:val="12"/>
        </w:rPr>
      </w:pPr>
    </w:p>
    <w:p w:rsidR="00C84E92" w:rsidRPr="0040381B" w:rsidRDefault="00C84E92" w:rsidP="0088010E">
      <w:pPr>
        <w:rPr>
          <w:sz w:val="22"/>
        </w:rPr>
      </w:pPr>
      <w:r w:rsidRPr="0040381B">
        <w:rPr>
          <w:sz w:val="22"/>
        </w:rPr>
        <w:t>The most recent employment figures for Washington show that between two and three years after leaving the program, employment for secondary CTE completers was 8.4% higher than for non-CTE students.</w:t>
      </w:r>
    </w:p>
    <w:p w:rsidR="00C84E92" w:rsidRPr="00600249" w:rsidRDefault="00C84E92" w:rsidP="0088010E">
      <w:pPr>
        <w:rPr>
          <w:sz w:val="12"/>
        </w:rPr>
      </w:pPr>
    </w:p>
    <w:p w:rsidR="00C84E92" w:rsidRPr="0040381B" w:rsidRDefault="00C84E92" w:rsidP="0088010E">
      <w:pPr>
        <w:rPr>
          <w:sz w:val="22"/>
        </w:rPr>
      </w:pPr>
      <w:r w:rsidRPr="0040381B">
        <w:rPr>
          <w:sz w:val="22"/>
        </w:rPr>
        <w:t>The total net benefit to secondary CTE completers over their lifetime (to age 65) was $79,833.  The net benefit to the public was $7,659 per secondary CTE completer.</w:t>
      </w:r>
    </w:p>
    <w:p w:rsidR="00C84E92" w:rsidRPr="006E261C" w:rsidRDefault="00C84E92" w:rsidP="0088010E">
      <w:pPr>
        <w:rPr>
          <w:sz w:val="16"/>
        </w:rPr>
      </w:pPr>
    </w:p>
    <w:p w:rsidR="00C84E92" w:rsidRPr="0040381B" w:rsidRDefault="00C84E92" w:rsidP="0088010E">
      <w:pPr>
        <w:rPr>
          <w:sz w:val="22"/>
        </w:rPr>
      </w:pPr>
      <w:r w:rsidRPr="0040381B">
        <w:rPr>
          <w:sz w:val="22"/>
        </w:rPr>
        <w:t>The Return on Public Investment over the lifetime of a secondary CTE</w:t>
      </w:r>
      <w:r w:rsidRPr="0040381B">
        <w:rPr>
          <w:i/>
          <w:sz w:val="22"/>
        </w:rPr>
        <w:t xml:space="preserve"> </w:t>
      </w:r>
      <w:r w:rsidRPr="006E261C">
        <w:rPr>
          <w:sz w:val="22"/>
        </w:rPr>
        <w:t>completer</w:t>
      </w:r>
      <w:r w:rsidRPr="0040381B">
        <w:rPr>
          <w:sz w:val="22"/>
        </w:rPr>
        <w:t xml:space="preserve"> is $87 to 1. </w:t>
      </w:r>
      <w:r w:rsidRPr="0040381B">
        <w:rPr>
          <w:rStyle w:val="FootnoteReference"/>
          <w:sz w:val="22"/>
        </w:rPr>
        <w:footnoteReference w:id="7"/>
      </w:r>
    </w:p>
    <w:p w:rsidR="00C84E92" w:rsidRPr="00600249" w:rsidRDefault="00C84E92" w:rsidP="0088010E">
      <w:pPr>
        <w:rPr>
          <w:sz w:val="12"/>
        </w:rPr>
      </w:pPr>
    </w:p>
    <w:p w:rsidR="00C84E92" w:rsidRPr="00C84E92" w:rsidRDefault="00C84E92" w:rsidP="0088010E">
      <w:pPr>
        <w:rPr>
          <w:sz w:val="22"/>
        </w:rPr>
      </w:pPr>
      <w:r w:rsidRPr="0040381B">
        <w:rPr>
          <w:sz w:val="22"/>
        </w:rPr>
        <w:t xml:space="preserve">High school students who complete a </w:t>
      </w:r>
      <w:r w:rsidRPr="00A94BFE">
        <w:rPr>
          <w:sz w:val="22"/>
        </w:rPr>
        <w:t>CTE</w:t>
      </w:r>
      <w:r w:rsidRPr="0040381B">
        <w:rPr>
          <w:i/>
          <w:sz w:val="22"/>
        </w:rPr>
        <w:t xml:space="preserve"> </w:t>
      </w:r>
      <w:r w:rsidRPr="006E261C">
        <w:rPr>
          <w:sz w:val="22"/>
        </w:rPr>
        <w:t>sequence</w:t>
      </w:r>
      <w:r w:rsidRPr="0040381B">
        <w:rPr>
          <w:sz w:val="22"/>
        </w:rPr>
        <w:t xml:space="preserve"> earn $840 more annually, and have 6.7% higher employment rates than those who did not. </w:t>
      </w:r>
      <w:r w:rsidRPr="0040381B">
        <w:rPr>
          <w:rStyle w:val="FootnoteReference"/>
          <w:sz w:val="22"/>
        </w:rPr>
        <w:footnoteReference w:id="8"/>
      </w:r>
    </w:p>
    <w:p w:rsidR="00C84E92" w:rsidRPr="00600249" w:rsidRDefault="00C84E92" w:rsidP="0088010E">
      <w:pPr>
        <w:rPr>
          <w:sz w:val="12"/>
        </w:rPr>
      </w:pPr>
    </w:p>
    <w:p w:rsidR="00600249" w:rsidRDefault="00600249" w:rsidP="00600249">
      <w:pPr>
        <w:rPr>
          <w:sz w:val="22"/>
        </w:rPr>
      </w:pPr>
      <w:r w:rsidRPr="0040381B">
        <w:rPr>
          <w:sz w:val="22"/>
        </w:rPr>
        <w:t xml:space="preserve">Eighty percent of students taking a college preparatory academic curriculum with rigorous CTE met college and career readiness goals, compared to only 63 percent of students taking the same academic core who did not experience rigorous CTE. </w:t>
      </w:r>
      <w:r w:rsidRPr="0040381B">
        <w:rPr>
          <w:rStyle w:val="FootnoteReference"/>
          <w:sz w:val="22"/>
        </w:rPr>
        <w:footnoteReference w:id="9"/>
      </w:r>
    </w:p>
    <w:p w:rsidR="00C84E92" w:rsidRPr="00600249" w:rsidRDefault="00C84E92" w:rsidP="00EE54A7">
      <w:pPr>
        <w:rPr>
          <w:sz w:val="22"/>
        </w:rPr>
      </w:pPr>
    </w:p>
    <w:p w:rsidR="00600249" w:rsidRPr="006463CC" w:rsidRDefault="00600249" w:rsidP="00600249">
      <w:pPr>
        <w:rPr>
          <w:i/>
          <w:sz w:val="14"/>
          <w:szCs w:val="18"/>
        </w:rPr>
      </w:pPr>
      <w:r w:rsidRPr="00E02C14">
        <w:rPr>
          <w:i/>
          <w:sz w:val="18"/>
          <w:szCs w:val="18"/>
        </w:rPr>
        <w:t>The CTE brand logo, brand-positioning, theme, and brand extensions are the property of NASDCTEc</w:t>
      </w:r>
    </w:p>
    <w:sectPr w:rsidR="00600249" w:rsidRPr="006463CC" w:rsidSect="00E7395F">
      <w:headerReference w:type="default" r:id="rId9"/>
      <w:footerReference w:type="even" r:id="rId10"/>
      <w:footerReference w:type="default" r:id="rId11"/>
      <w:footnotePr>
        <w:pos w:val="beneathText"/>
      </w:foot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E1" w:rsidRDefault="006378E1" w:rsidP="00C52458">
      <w:r>
        <w:separator/>
      </w:r>
    </w:p>
  </w:endnote>
  <w:endnote w:type="continuationSeparator" w:id="0">
    <w:p w:rsidR="006378E1" w:rsidRDefault="006378E1" w:rsidP="00C5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CC" w:rsidRPr="00136146" w:rsidRDefault="006463CC" w:rsidP="00600249">
    <w:pPr>
      <w:pStyle w:val="Footer"/>
      <w:pBdr>
        <w:top w:val="single" w:sz="4" w:space="1" w:color="auto"/>
      </w:pBdr>
      <w:rPr>
        <w:sz w:val="22"/>
      </w:rPr>
    </w:pPr>
    <w:r w:rsidRPr="00136146">
      <w:rPr>
        <w:rFonts w:ascii="Arial" w:hAnsi="Arial" w:cs="Arial"/>
        <w:sz w:val="22"/>
      </w:rPr>
      <w:t xml:space="preserve">Oregon Department of Education | </w:t>
    </w:r>
    <w:r w:rsidRPr="00136146">
      <w:rPr>
        <w:rFonts w:ascii="Arial" w:hAnsi="Arial" w:cs="Arial"/>
        <w:sz w:val="22"/>
      </w:rPr>
      <w:fldChar w:fldCharType="begin"/>
    </w:r>
    <w:r w:rsidRPr="00136146">
      <w:rPr>
        <w:rFonts w:ascii="Arial" w:hAnsi="Arial" w:cs="Arial"/>
        <w:sz w:val="22"/>
      </w:rPr>
      <w:instrText xml:space="preserve"> DATE \@ "MMMM yyyy" \* MERGEFORMAT </w:instrText>
    </w:r>
    <w:r w:rsidRPr="00136146">
      <w:rPr>
        <w:rFonts w:ascii="Arial" w:hAnsi="Arial" w:cs="Arial"/>
        <w:sz w:val="22"/>
      </w:rPr>
      <w:fldChar w:fldCharType="separate"/>
    </w:r>
    <w:r w:rsidR="000438A1">
      <w:rPr>
        <w:rFonts w:ascii="Arial" w:hAnsi="Arial" w:cs="Arial"/>
        <w:noProof/>
        <w:sz w:val="22"/>
      </w:rPr>
      <w:t>August 2015</w:t>
    </w:r>
    <w:r w:rsidRPr="00136146">
      <w:rPr>
        <w:rFonts w:ascii="Arial" w:hAnsi="Arial" w:cs="Arial"/>
        <w:sz w:val="22"/>
      </w:rPr>
      <w:fldChar w:fldCharType="end"/>
    </w:r>
    <w:r w:rsidRPr="00136146">
      <w:rPr>
        <w:rFonts w:ascii="Arial" w:hAnsi="Arial" w:cs="Arial"/>
        <w:sz w:val="22"/>
      </w:rPr>
      <w:t xml:space="preserve">               </w:t>
    </w:r>
    <w:r w:rsidRPr="00136146">
      <w:rPr>
        <w:rFonts w:ascii="Arial" w:hAnsi="Arial" w:cs="Arial"/>
        <w:sz w:val="22"/>
      </w:rPr>
      <w:tab/>
    </w:r>
    <w:r w:rsidRPr="00600249">
      <w:rPr>
        <w:rFonts w:ascii="Arial" w:hAnsi="Arial" w:cs="Arial"/>
        <w:sz w:val="22"/>
      </w:rPr>
      <w:t xml:space="preserve">Page </w:t>
    </w:r>
    <w:r w:rsidRPr="00600249">
      <w:rPr>
        <w:rFonts w:ascii="Arial" w:hAnsi="Arial" w:cs="Arial"/>
        <w:sz w:val="22"/>
      </w:rPr>
      <w:fldChar w:fldCharType="begin"/>
    </w:r>
    <w:r w:rsidRPr="00600249">
      <w:rPr>
        <w:rFonts w:ascii="Arial" w:hAnsi="Arial" w:cs="Arial"/>
        <w:sz w:val="22"/>
      </w:rPr>
      <w:instrText xml:space="preserve"> PAGE  \* Arabic  \* MERGEFORMAT </w:instrText>
    </w:r>
    <w:r w:rsidRPr="00600249">
      <w:rPr>
        <w:rFonts w:ascii="Arial" w:hAnsi="Arial" w:cs="Arial"/>
        <w:sz w:val="22"/>
      </w:rPr>
      <w:fldChar w:fldCharType="separate"/>
    </w:r>
    <w:r w:rsidR="000438A1">
      <w:rPr>
        <w:rFonts w:ascii="Arial" w:hAnsi="Arial" w:cs="Arial"/>
        <w:noProof/>
        <w:sz w:val="22"/>
      </w:rPr>
      <w:t>2</w:t>
    </w:r>
    <w:r w:rsidRPr="00600249">
      <w:rPr>
        <w:rFonts w:ascii="Arial" w:hAnsi="Arial" w:cs="Arial"/>
        <w:sz w:val="22"/>
      </w:rPr>
      <w:fldChar w:fldCharType="end"/>
    </w:r>
    <w:r w:rsidRPr="00600249">
      <w:rPr>
        <w:rFonts w:ascii="Arial" w:hAnsi="Arial" w:cs="Arial"/>
        <w:sz w:val="22"/>
      </w:rPr>
      <w:t xml:space="preserve"> of </w:t>
    </w:r>
    <w:r w:rsidRPr="00600249">
      <w:rPr>
        <w:rFonts w:ascii="Arial" w:hAnsi="Arial" w:cs="Arial"/>
        <w:sz w:val="22"/>
      </w:rPr>
      <w:fldChar w:fldCharType="begin"/>
    </w:r>
    <w:r w:rsidRPr="00600249">
      <w:rPr>
        <w:rFonts w:ascii="Arial" w:hAnsi="Arial" w:cs="Arial"/>
        <w:sz w:val="22"/>
      </w:rPr>
      <w:instrText xml:space="preserve"> NUMPAGES  \* Arabic  \* MERGEFORMAT </w:instrText>
    </w:r>
    <w:r w:rsidRPr="00600249">
      <w:rPr>
        <w:rFonts w:ascii="Arial" w:hAnsi="Arial" w:cs="Arial"/>
        <w:sz w:val="22"/>
      </w:rPr>
      <w:fldChar w:fldCharType="separate"/>
    </w:r>
    <w:r w:rsidR="000438A1">
      <w:rPr>
        <w:rFonts w:ascii="Arial" w:hAnsi="Arial" w:cs="Arial"/>
        <w:noProof/>
        <w:sz w:val="22"/>
      </w:rPr>
      <w:t>2</w:t>
    </w:r>
    <w:r w:rsidRPr="00600249">
      <w:rPr>
        <w:rFonts w:ascii="Arial" w:hAnsi="Arial" w:cs="Arial"/>
        <w:sz w:val="22"/>
      </w:rPr>
      <w:fldChar w:fldCharType="end"/>
    </w:r>
    <w:r w:rsidRPr="00136146">
      <w:rPr>
        <w:rFonts w:ascii="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136146" w:rsidRDefault="00C52458" w:rsidP="00C52458">
    <w:pPr>
      <w:pStyle w:val="Footer"/>
      <w:pBdr>
        <w:top w:val="single" w:sz="4" w:space="1" w:color="auto"/>
      </w:pBdr>
      <w:rPr>
        <w:rFonts w:ascii="Arial" w:hAnsi="Arial" w:cs="Arial"/>
        <w:sz w:val="22"/>
      </w:rPr>
    </w:pPr>
    <w:r w:rsidRPr="00136146">
      <w:rPr>
        <w:rFonts w:ascii="Arial" w:hAnsi="Arial" w:cs="Arial"/>
        <w:sz w:val="22"/>
      </w:rPr>
      <w:t xml:space="preserve">Oregon Department of Education | </w:t>
    </w:r>
    <w:r w:rsidR="00762285" w:rsidRPr="00136146">
      <w:rPr>
        <w:rFonts w:ascii="Arial" w:hAnsi="Arial" w:cs="Arial"/>
        <w:sz w:val="22"/>
      </w:rPr>
      <w:fldChar w:fldCharType="begin"/>
    </w:r>
    <w:r w:rsidR="00762285" w:rsidRPr="00136146">
      <w:rPr>
        <w:rFonts w:ascii="Arial" w:hAnsi="Arial" w:cs="Arial"/>
        <w:sz w:val="22"/>
      </w:rPr>
      <w:instrText xml:space="preserve"> DATE \@ "MMMM yyyy" \* MERGEFORMAT </w:instrText>
    </w:r>
    <w:r w:rsidR="00762285" w:rsidRPr="00136146">
      <w:rPr>
        <w:rFonts w:ascii="Arial" w:hAnsi="Arial" w:cs="Arial"/>
        <w:sz w:val="22"/>
      </w:rPr>
      <w:fldChar w:fldCharType="separate"/>
    </w:r>
    <w:r w:rsidR="000438A1">
      <w:rPr>
        <w:rFonts w:ascii="Arial" w:hAnsi="Arial" w:cs="Arial"/>
        <w:noProof/>
        <w:sz w:val="22"/>
      </w:rPr>
      <w:t>August 2015</w:t>
    </w:r>
    <w:r w:rsidR="00762285" w:rsidRPr="00136146">
      <w:rPr>
        <w:rFonts w:ascii="Arial" w:hAnsi="Arial" w:cs="Arial"/>
        <w:sz w:val="22"/>
      </w:rPr>
      <w:fldChar w:fldCharType="end"/>
    </w:r>
    <w:r w:rsidRPr="00136146">
      <w:rPr>
        <w:rFonts w:ascii="Arial" w:hAnsi="Arial" w:cs="Arial"/>
        <w:sz w:val="22"/>
      </w:rPr>
      <w:t xml:space="preserve"> </w:t>
    </w:r>
    <w:r w:rsidR="003018C4" w:rsidRPr="00136146">
      <w:rPr>
        <w:rFonts w:ascii="Arial" w:hAnsi="Arial" w:cs="Arial"/>
        <w:sz w:val="22"/>
      </w:rPr>
      <w:t xml:space="preserve">                                               </w:t>
    </w:r>
    <w:r w:rsidR="00DF6C15" w:rsidRPr="00136146">
      <w:rPr>
        <w:rFonts w:ascii="Arial" w:hAnsi="Arial" w:cs="Arial"/>
        <w:sz w:val="22"/>
      </w:rPr>
      <w:tab/>
    </w:r>
    <w:r w:rsidR="003018C4" w:rsidRPr="00136146">
      <w:rPr>
        <w:rFonts w:ascii="Arial" w:hAnsi="Arial" w:cs="Arial"/>
        <w:sz w:val="22"/>
      </w:rPr>
      <w:t xml:space="preserve"> Page </w:t>
    </w:r>
    <w:r w:rsidR="003018C4" w:rsidRPr="00600249">
      <w:rPr>
        <w:rFonts w:ascii="Arial" w:hAnsi="Arial" w:cs="Arial"/>
        <w:sz w:val="22"/>
      </w:rPr>
      <w:fldChar w:fldCharType="begin"/>
    </w:r>
    <w:r w:rsidR="003018C4" w:rsidRPr="00600249">
      <w:rPr>
        <w:rFonts w:ascii="Arial" w:hAnsi="Arial" w:cs="Arial"/>
        <w:sz w:val="22"/>
      </w:rPr>
      <w:instrText xml:space="preserve"> PAGE  \* Arabic  \* MERGEFORMAT </w:instrText>
    </w:r>
    <w:r w:rsidR="003018C4" w:rsidRPr="00600249">
      <w:rPr>
        <w:rFonts w:ascii="Arial" w:hAnsi="Arial" w:cs="Arial"/>
        <w:sz w:val="22"/>
      </w:rPr>
      <w:fldChar w:fldCharType="separate"/>
    </w:r>
    <w:r w:rsidR="000438A1">
      <w:rPr>
        <w:rFonts w:ascii="Arial" w:hAnsi="Arial" w:cs="Arial"/>
        <w:noProof/>
        <w:sz w:val="22"/>
      </w:rPr>
      <w:t>1</w:t>
    </w:r>
    <w:r w:rsidR="003018C4" w:rsidRPr="00600249">
      <w:rPr>
        <w:rFonts w:ascii="Arial" w:hAnsi="Arial" w:cs="Arial"/>
        <w:sz w:val="22"/>
      </w:rPr>
      <w:fldChar w:fldCharType="end"/>
    </w:r>
    <w:r w:rsidR="003018C4" w:rsidRPr="00136146">
      <w:rPr>
        <w:rFonts w:ascii="Arial" w:hAnsi="Arial" w:cs="Arial"/>
        <w:sz w:val="22"/>
      </w:rPr>
      <w:t xml:space="preserve"> of </w:t>
    </w:r>
    <w:r w:rsidR="003018C4" w:rsidRPr="00600249">
      <w:rPr>
        <w:rFonts w:ascii="Arial" w:hAnsi="Arial" w:cs="Arial"/>
        <w:sz w:val="22"/>
      </w:rPr>
      <w:fldChar w:fldCharType="begin"/>
    </w:r>
    <w:r w:rsidR="003018C4" w:rsidRPr="00600249">
      <w:rPr>
        <w:rFonts w:ascii="Arial" w:hAnsi="Arial" w:cs="Arial"/>
        <w:sz w:val="22"/>
      </w:rPr>
      <w:instrText xml:space="preserve"> NUMPAGES  \* Arabic  \* MERGEFORMAT </w:instrText>
    </w:r>
    <w:r w:rsidR="003018C4" w:rsidRPr="00600249">
      <w:rPr>
        <w:rFonts w:ascii="Arial" w:hAnsi="Arial" w:cs="Arial"/>
        <w:sz w:val="22"/>
      </w:rPr>
      <w:fldChar w:fldCharType="separate"/>
    </w:r>
    <w:r w:rsidR="000438A1">
      <w:rPr>
        <w:rFonts w:ascii="Arial" w:hAnsi="Arial" w:cs="Arial"/>
        <w:noProof/>
        <w:sz w:val="22"/>
      </w:rPr>
      <w:t>1</w:t>
    </w:r>
    <w:r w:rsidR="003018C4" w:rsidRPr="00600249">
      <w:rPr>
        <w:rFonts w:ascii="Arial" w:hAnsi="Arial" w:cs="Arial"/>
        <w:sz w:val="22"/>
      </w:rPr>
      <w:fldChar w:fldCharType="end"/>
    </w:r>
    <w:r w:rsidR="003018C4" w:rsidRPr="00136146">
      <w:rPr>
        <w:rFonts w:ascii="Arial" w:hAnsi="Arial" w:cs="Arial"/>
        <w:sz w:val="22"/>
      </w:rPr>
      <w:tab/>
    </w:r>
    <w:r w:rsidR="003018C4" w:rsidRPr="00136146">
      <w:rPr>
        <w:rFonts w:ascii="Arial" w:hAnsi="Arial" w:cs="Arial"/>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E1" w:rsidRDefault="006378E1" w:rsidP="00C52458">
      <w:r>
        <w:separator/>
      </w:r>
    </w:p>
  </w:footnote>
  <w:footnote w:type="continuationSeparator" w:id="0">
    <w:p w:rsidR="006378E1" w:rsidRDefault="006378E1" w:rsidP="00C52458">
      <w:r>
        <w:continuationSeparator/>
      </w:r>
    </w:p>
  </w:footnote>
  <w:footnote w:id="1">
    <w:p w:rsidR="00C84E92" w:rsidRDefault="00C84E92" w:rsidP="002C7559">
      <w:pPr>
        <w:rPr>
          <w:sz w:val="18"/>
          <w:szCs w:val="18"/>
        </w:rPr>
      </w:pPr>
    </w:p>
    <w:p w:rsidR="00C84E92" w:rsidRPr="00A56C87" w:rsidRDefault="00C84E92" w:rsidP="002C7559">
      <w:pPr>
        <w:rPr>
          <w:sz w:val="18"/>
          <w:szCs w:val="18"/>
        </w:rPr>
      </w:pPr>
      <w:r w:rsidRPr="00A56C87">
        <w:rPr>
          <w:rStyle w:val="FootnoteReference"/>
          <w:sz w:val="18"/>
          <w:szCs w:val="18"/>
        </w:rPr>
        <w:footnoteRef/>
      </w:r>
      <w:r w:rsidRPr="00A56C87">
        <w:rPr>
          <w:sz w:val="18"/>
          <w:szCs w:val="18"/>
        </w:rPr>
        <w:t xml:space="preserve"> Conducting Return on Investment Analyses for Se</w:t>
      </w:r>
      <w:r>
        <w:rPr>
          <w:sz w:val="18"/>
          <w:szCs w:val="18"/>
        </w:rPr>
        <w:t xml:space="preserve">condary and Postsecondary CTE: </w:t>
      </w:r>
      <w:r w:rsidRPr="00A56C87">
        <w:rPr>
          <w:sz w:val="18"/>
          <w:szCs w:val="18"/>
        </w:rPr>
        <w:t>A Framework</w:t>
      </w:r>
      <w:r>
        <w:rPr>
          <w:sz w:val="18"/>
          <w:szCs w:val="18"/>
        </w:rPr>
        <w:t xml:space="preserve">. </w:t>
      </w:r>
      <w:r w:rsidRPr="00A56C87">
        <w:rPr>
          <w:sz w:val="18"/>
          <w:szCs w:val="18"/>
        </w:rPr>
        <w:t>Hollenbeck, K. M., 2011.</w:t>
      </w:r>
      <w:r>
        <w:rPr>
          <w:sz w:val="18"/>
          <w:szCs w:val="18"/>
        </w:rPr>
        <w:t xml:space="preserve">  </w:t>
      </w:r>
      <w:hyperlink r:id="rId1" w:history="1">
        <w:r w:rsidRPr="00A56C87">
          <w:rPr>
            <w:rStyle w:val="Hyperlink"/>
            <w:color w:val="auto"/>
            <w:sz w:val="18"/>
            <w:szCs w:val="18"/>
          </w:rPr>
          <w:t>http://www.nrccte.org/resources/publications/conducting-return-investment-analyses-secondary-and-postsecondary-cte</w:t>
        </w:r>
      </w:hyperlink>
    </w:p>
    <w:p w:rsidR="00C84E92" w:rsidRPr="00A56C87" w:rsidRDefault="00C84E92" w:rsidP="002C7559">
      <w:pPr>
        <w:pStyle w:val="FootnoteText"/>
        <w:rPr>
          <w:sz w:val="18"/>
          <w:szCs w:val="18"/>
        </w:rPr>
      </w:pPr>
    </w:p>
  </w:footnote>
  <w:footnote w:id="2">
    <w:p w:rsidR="00C84E92" w:rsidRPr="00A56C87" w:rsidRDefault="00C84E92" w:rsidP="002C7559">
      <w:pPr>
        <w:rPr>
          <w:sz w:val="18"/>
          <w:szCs w:val="18"/>
        </w:rPr>
      </w:pPr>
      <w:r w:rsidRPr="00A56C87">
        <w:rPr>
          <w:rStyle w:val="FootnoteReference"/>
          <w:sz w:val="18"/>
          <w:szCs w:val="18"/>
        </w:rPr>
        <w:footnoteRef/>
      </w:r>
      <w:r w:rsidRPr="00A56C87">
        <w:rPr>
          <w:sz w:val="18"/>
          <w:szCs w:val="18"/>
        </w:rPr>
        <w:t xml:space="preserve"> Investing in Career &amp; Technical Education Yields Big Returns</w:t>
      </w:r>
      <w:r>
        <w:rPr>
          <w:sz w:val="18"/>
          <w:szCs w:val="18"/>
        </w:rPr>
        <w:t xml:space="preserve">. </w:t>
      </w:r>
      <w:r w:rsidRPr="00A56C87">
        <w:rPr>
          <w:sz w:val="18"/>
          <w:szCs w:val="18"/>
        </w:rPr>
        <w:t>Association for Career and Technical Education, 2015.</w:t>
      </w:r>
      <w:r>
        <w:rPr>
          <w:sz w:val="18"/>
          <w:szCs w:val="18"/>
        </w:rPr>
        <w:t xml:space="preserve">  </w:t>
      </w:r>
      <w:hyperlink r:id="rId2" w:history="1">
        <w:r w:rsidRPr="00A56C87">
          <w:rPr>
            <w:rStyle w:val="Hyperlink"/>
            <w:color w:val="auto"/>
            <w:sz w:val="18"/>
            <w:szCs w:val="18"/>
          </w:rPr>
          <w:t>http://www.acteonline.org/</w:t>
        </w:r>
      </w:hyperlink>
    </w:p>
    <w:p w:rsidR="00C84E92" w:rsidRPr="00A56C87" w:rsidRDefault="00C84E92" w:rsidP="002C7559">
      <w:pPr>
        <w:pStyle w:val="FootnoteText"/>
        <w:rPr>
          <w:sz w:val="18"/>
          <w:szCs w:val="18"/>
        </w:rPr>
      </w:pPr>
    </w:p>
  </w:footnote>
  <w:footnote w:id="3">
    <w:p w:rsidR="00C84E92" w:rsidRPr="002C7559" w:rsidRDefault="00C84E92" w:rsidP="002C7559">
      <w:pPr>
        <w:rPr>
          <w:rStyle w:val="Hyperlink"/>
          <w:color w:val="auto"/>
          <w:sz w:val="18"/>
          <w:szCs w:val="18"/>
          <w:u w:val="none"/>
        </w:rPr>
      </w:pPr>
      <w:r w:rsidRPr="00A56C87">
        <w:rPr>
          <w:rStyle w:val="FootnoteReference"/>
          <w:sz w:val="18"/>
          <w:szCs w:val="18"/>
        </w:rPr>
        <w:footnoteRef/>
      </w:r>
      <w:r w:rsidRPr="00A56C87">
        <w:rPr>
          <w:sz w:val="18"/>
          <w:szCs w:val="18"/>
        </w:rPr>
        <w:t xml:space="preserve"> The Economic Impact of Secondary and Postsecondary Career and Technical Education</w:t>
      </w:r>
      <w:r>
        <w:rPr>
          <w:sz w:val="18"/>
          <w:szCs w:val="18"/>
        </w:rPr>
        <w:t xml:space="preserve"> in Tennessee. </w:t>
      </w:r>
      <w:r w:rsidRPr="00A56C87">
        <w:rPr>
          <w:sz w:val="18"/>
          <w:szCs w:val="18"/>
        </w:rPr>
        <w:t>Sparks Bureau of Business and Economic Research and the University of Memphis, 2006.</w:t>
      </w:r>
      <w:r>
        <w:rPr>
          <w:sz w:val="18"/>
          <w:szCs w:val="18"/>
        </w:rPr>
        <w:t xml:space="preserve"> </w:t>
      </w:r>
      <w:r w:rsidRPr="00A56C87">
        <w:rPr>
          <w:sz w:val="18"/>
          <w:szCs w:val="18"/>
        </w:rPr>
        <w:t>(Quoted in CTE Today Fact Sheet.  Association for Career and Technical Education, 2015.)</w:t>
      </w:r>
      <w:r>
        <w:rPr>
          <w:sz w:val="18"/>
          <w:szCs w:val="18"/>
        </w:rPr>
        <w:t xml:space="preserve">  </w:t>
      </w:r>
      <w:hyperlink r:id="rId3" w:history="1">
        <w:r w:rsidRPr="00A56C87">
          <w:rPr>
            <w:rStyle w:val="Hyperlink"/>
            <w:color w:val="auto"/>
            <w:sz w:val="18"/>
            <w:szCs w:val="18"/>
          </w:rPr>
          <w:t>http://www.acteonline.org/</w:t>
        </w:r>
      </w:hyperlink>
    </w:p>
    <w:p w:rsidR="00C84E92" w:rsidRPr="00A56C87" w:rsidRDefault="00C84E92" w:rsidP="002C7559">
      <w:pPr>
        <w:rPr>
          <w:sz w:val="18"/>
          <w:szCs w:val="18"/>
        </w:rPr>
      </w:pPr>
    </w:p>
  </w:footnote>
  <w:footnote w:id="4">
    <w:p w:rsidR="00C84E92" w:rsidRPr="002C7559" w:rsidRDefault="00C84E92" w:rsidP="002C7559">
      <w:pPr>
        <w:rPr>
          <w:rStyle w:val="Hyperlink"/>
          <w:color w:val="auto"/>
          <w:sz w:val="18"/>
          <w:szCs w:val="18"/>
          <w:u w:val="none"/>
        </w:rPr>
      </w:pPr>
      <w:r w:rsidRPr="00A56C87">
        <w:rPr>
          <w:rStyle w:val="FootnoteReference"/>
          <w:sz w:val="18"/>
          <w:szCs w:val="18"/>
        </w:rPr>
        <w:footnoteRef/>
      </w:r>
      <w:r w:rsidRPr="00A56C87">
        <w:rPr>
          <w:sz w:val="18"/>
          <w:szCs w:val="18"/>
        </w:rPr>
        <w:t xml:space="preserve"> </w:t>
      </w:r>
      <w:r w:rsidRPr="00A56C87">
        <w:rPr>
          <w:iCs/>
          <w:sz w:val="18"/>
          <w:szCs w:val="18"/>
        </w:rPr>
        <w:t>Education and the Economy: Boosting the Nation’s Economy by Improving High School Graduation Rates</w:t>
      </w:r>
      <w:r>
        <w:rPr>
          <w:sz w:val="18"/>
          <w:szCs w:val="18"/>
        </w:rPr>
        <w:t xml:space="preserve">. </w:t>
      </w:r>
      <w:r w:rsidRPr="00A56C87">
        <w:rPr>
          <w:sz w:val="18"/>
          <w:szCs w:val="18"/>
        </w:rPr>
        <w:t>Alliance for Excellent Education, 2011.</w:t>
      </w:r>
      <w:r>
        <w:rPr>
          <w:sz w:val="18"/>
          <w:szCs w:val="18"/>
        </w:rPr>
        <w:t xml:space="preserve">  </w:t>
      </w:r>
      <w:hyperlink r:id="rId4" w:history="1">
        <w:r w:rsidRPr="00A56C87">
          <w:rPr>
            <w:rStyle w:val="Hyperlink"/>
            <w:color w:val="auto"/>
            <w:sz w:val="18"/>
            <w:szCs w:val="18"/>
          </w:rPr>
          <w:t>http://all4ed.org/wp-content/uploads/2013/09/NationalStates_seb.pdf</w:t>
        </w:r>
      </w:hyperlink>
    </w:p>
    <w:p w:rsidR="00C84E92" w:rsidRPr="002C7559" w:rsidRDefault="00C84E92" w:rsidP="002C7559">
      <w:pPr>
        <w:rPr>
          <w:sz w:val="18"/>
          <w:szCs w:val="18"/>
        </w:rPr>
      </w:pPr>
    </w:p>
  </w:footnote>
  <w:footnote w:id="5">
    <w:p w:rsidR="00C84E92" w:rsidRPr="00A56C87" w:rsidRDefault="00C84E92" w:rsidP="002C7559">
      <w:pPr>
        <w:rPr>
          <w:sz w:val="18"/>
          <w:szCs w:val="18"/>
        </w:rPr>
      </w:pPr>
      <w:r w:rsidRPr="00A56C87">
        <w:rPr>
          <w:rStyle w:val="FootnoteReference"/>
          <w:sz w:val="18"/>
          <w:szCs w:val="18"/>
        </w:rPr>
        <w:footnoteRef/>
      </w:r>
      <w:r w:rsidRPr="00A56C87">
        <w:rPr>
          <w:sz w:val="18"/>
          <w:szCs w:val="18"/>
        </w:rPr>
        <w:t xml:space="preserve"> Building a Grad Nation: Progress and Challenge in Ending the High School Dropout Epidemic. Office of Career, Technical and Adult Education, 2014.</w:t>
      </w:r>
      <w:r>
        <w:rPr>
          <w:sz w:val="18"/>
          <w:szCs w:val="18"/>
        </w:rPr>
        <w:t xml:space="preserve">  </w:t>
      </w:r>
      <w:hyperlink r:id="rId5" w:history="1">
        <w:r w:rsidRPr="00A56C87">
          <w:rPr>
            <w:rStyle w:val="Hyperlink"/>
            <w:color w:val="auto"/>
            <w:sz w:val="18"/>
            <w:szCs w:val="18"/>
          </w:rPr>
          <w:t>http://gradnation.org/resource/building-gradnation-progress-and-challenge-ending-high-school-dropout-epidemic-2014</w:t>
        </w:r>
      </w:hyperlink>
    </w:p>
    <w:p w:rsidR="00C84E92" w:rsidRPr="004B5DC3" w:rsidRDefault="00C84E92" w:rsidP="002C7559">
      <w:pPr>
        <w:pStyle w:val="FootnoteText"/>
        <w:rPr>
          <w:sz w:val="12"/>
          <w:szCs w:val="18"/>
        </w:rPr>
      </w:pPr>
    </w:p>
  </w:footnote>
  <w:footnote w:id="6">
    <w:p w:rsidR="00C84E92" w:rsidRPr="00A56C87" w:rsidRDefault="00C84E92" w:rsidP="002C7559">
      <w:pPr>
        <w:rPr>
          <w:sz w:val="18"/>
          <w:szCs w:val="18"/>
        </w:rPr>
      </w:pPr>
      <w:r w:rsidRPr="00A56C87">
        <w:rPr>
          <w:rStyle w:val="FootnoteReference"/>
          <w:sz w:val="18"/>
          <w:szCs w:val="18"/>
        </w:rPr>
        <w:footnoteRef/>
      </w:r>
      <w:r w:rsidRPr="00A56C87">
        <w:rPr>
          <w:sz w:val="18"/>
          <w:szCs w:val="18"/>
        </w:rPr>
        <w:t xml:space="preserve"> </w:t>
      </w:r>
      <w:r>
        <w:rPr>
          <w:sz w:val="18"/>
          <w:szCs w:val="18"/>
        </w:rPr>
        <w:t xml:space="preserve">Oregon’s High School Dropouts: </w:t>
      </w:r>
      <w:r w:rsidRPr="00A56C87">
        <w:rPr>
          <w:sz w:val="18"/>
          <w:szCs w:val="18"/>
        </w:rPr>
        <w:t xml:space="preserve">Examining </w:t>
      </w:r>
      <w:r>
        <w:rPr>
          <w:sz w:val="18"/>
          <w:szCs w:val="18"/>
        </w:rPr>
        <w:t xml:space="preserve">the Economic and Social Costs. </w:t>
      </w:r>
      <w:r w:rsidRPr="00A56C87">
        <w:rPr>
          <w:sz w:val="18"/>
          <w:szCs w:val="18"/>
        </w:rPr>
        <w:t>The Foundation for Education Choice and Cascade Policy Institute, 2012.</w:t>
      </w:r>
      <w:r>
        <w:rPr>
          <w:sz w:val="18"/>
          <w:szCs w:val="18"/>
        </w:rPr>
        <w:t xml:space="preserve">  </w:t>
      </w:r>
      <w:hyperlink r:id="rId6" w:history="1">
        <w:r w:rsidRPr="00A56C87">
          <w:rPr>
            <w:rStyle w:val="Hyperlink"/>
            <w:color w:val="auto"/>
            <w:sz w:val="18"/>
            <w:szCs w:val="18"/>
          </w:rPr>
          <w:t>http://cascadepolicy.org/pdf/edref/2010_03_ORdropout.pdf</w:t>
        </w:r>
      </w:hyperlink>
    </w:p>
    <w:p w:rsidR="00C84E92" w:rsidRPr="006463CC" w:rsidRDefault="00C84E92" w:rsidP="002C7559">
      <w:pPr>
        <w:pStyle w:val="FootnoteText"/>
        <w:rPr>
          <w:sz w:val="10"/>
          <w:szCs w:val="18"/>
        </w:rPr>
      </w:pPr>
    </w:p>
  </w:footnote>
  <w:footnote w:id="7">
    <w:p w:rsidR="00C84E92" w:rsidRDefault="00C84E92" w:rsidP="002C7559">
      <w:pPr>
        <w:rPr>
          <w:rStyle w:val="Hyperlink"/>
          <w:color w:val="auto"/>
          <w:sz w:val="18"/>
          <w:szCs w:val="18"/>
        </w:rPr>
      </w:pPr>
      <w:r w:rsidRPr="00A56C87">
        <w:rPr>
          <w:rStyle w:val="FootnoteReference"/>
          <w:sz w:val="18"/>
          <w:szCs w:val="18"/>
        </w:rPr>
        <w:footnoteRef/>
      </w:r>
      <w:r w:rsidRPr="00A56C87">
        <w:rPr>
          <w:sz w:val="18"/>
          <w:szCs w:val="18"/>
        </w:rPr>
        <w:t xml:space="preserve"> 2015 Workforce Training Results for Washington Secondary CTE</w:t>
      </w:r>
      <w:r>
        <w:rPr>
          <w:sz w:val="18"/>
          <w:szCs w:val="18"/>
        </w:rPr>
        <w:t xml:space="preserve"> </w:t>
      </w:r>
      <w:hyperlink r:id="rId7" w:history="1">
        <w:r w:rsidRPr="00A56C87">
          <w:rPr>
            <w:rStyle w:val="Hyperlink"/>
            <w:color w:val="auto"/>
            <w:sz w:val="18"/>
            <w:szCs w:val="18"/>
          </w:rPr>
          <w:t>http://www.wtb.wa.gov/CTE2015Dashboard.asp</w:t>
        </w:r>
      </w:hyperlink>
    </w:p>
    <w:p w:rsidR="00C84E92" w:rsidRPr="004B5DC3" w:rsidRDefault="00C84E92" w:rsidP="002C7559">
      <w:pPr>
        <w:rPr>
          <w:sz w:val="12"/>
          <w:szCs w:val="18"/>
        </w:rPr>
      </w:pPr>
    </w:p>
  </w:footnote>
  <w:footnote w:id="8">
    <w:p w:rsidR="00C84E92" w:rsidRPr="00A56C87" w:rsidRDefault="00C84E92" w:rsidP="002C7559">
      <w:pPr>
        <w:rPr>
          <w:sz w:val="18"/>
          <w:szCs w:val="18"/>
        </w:rPr>
      </w:pPr>
      <w:r w:rsidRPr="00A56C87">
        <w:rPr>
          <w:rStyle w:val="FootnoteReference"/>
          <w:sz w:val="18"/>
          <w:szCs w:val="18"/>
        </w:rPr>
        <w:footnoteRef/>
      </w:r>
      <w:r w:rsidRPr="00A56C87">
        <w:rPr>
          <w:sz w:val="18"/>
          <w:szCs w:val="18"/>
        </w:rPr>
        <w:t xml:space="preserve"> </w:t>
      </w:r>
      <w:r>
        <w:rPr>
          <w:sz w:val="18"/>
          <w:szCs w:val="18"/>
        </w:rPr>
        <w:t xml:space="preserve">CTE: An Investment in Success. </w:t>
      </w:r>
      <w:r w:rsidRPr="00A56C87">
        <w:rPr>
          <w:sz w:val="18"/>
          <w:szCs w:val="18"/>
        </w:rPr>
        <w:t>Washington Workforce Training and Education Coordinating Board.</w:t>
      </w:r>
      <w:r>
        <w:rPr>
          <w:sz w:val="18"/>
          <w:szCs w:val="18"/>
        </w:rPr>
        <w:t xml:space="preserve">  </w:t>
      </w:r>
      <w:hyperlink r:id="rId8" w:history="1">
        <w:r w:rsidRPr="00A56C87">
          <w:rPr>
            <w:sz w:val="18"/>
            <w:szCs w:val="18"/>
            <w:u w:val="single"/>
          </w:rPr>
          <w:t>http://www.wtb.wa.gov/</w:t>
        </w:r>
      </w:hyperlink>
    </w:p>
    <w:p w:rsidR="00C84E92" w:rsidRPr="006463CC" w:rsidRDefault="00C84E92" w:rsidP="002C7559">
      <w:pPr>
        <w:pStyle w:val="FootnoteText"/>
        <w:rPr>
          <w:sz w:val="14"/>
          <w:szCs w:val="18"/>
        </w:rPr>
      </w:pPr>
    </w:p>
  </w:footnote>
  <w:footnote w:id="9">
    <w:p w:rsidR="00600249" w:rsidRPr="006463CC" w:rsidRDefault="00600249" w:rsidP="00600249">
      <w:pPr>
        <w:rPr>
          <w:sz w:val="22"/>
          <w:szCs w:val="18"/>
        </w:rPr>
      </w:pPr>
      <w:r>
        <w:rPr>
          <w:rStyle w:val="FootnoteReference"/>
          <w:szCs w:val="20"/>
        </w:rPr>
        <w:footnoteRef/>
      </w:r>
      <w:r w:rsidRPr="00A56C87">
        <w:rPr>
          <w:sz w:val="18"/>
          <w:szCs w:val="18"/>
        </w:rPr>
        <w:t xml:space="preserve"> High Schools That Work 2012 Assessment. Southern Regional Education Board.</w:t>
      </w:r>
      <w:r>
        <w:rPr>
          <w:sz w:val="18"/>
          <w:szCs w:val="18"/>
        </w:rPr>
        <w:t xml:space="preserve">  </w:t>
      </w:r>
      <w:hyperlink r:id="rId9" w:history="1">
        <w:r w:rsidRPr="00A56C87">
          <w:rPr>
            <w:rStyle w:val="Hyperlink"/>
            <w:color w:val="auto"/>
            <w:sz w:val="18"/>
            <w:szCs w:val="18"/>
          </w:rPr>
          <w:t>http://www.sreb.org/page/1078/high_schools_that_work.html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3063B7" w:rsidP="00C52458">
    <w:pPr>
      <w:pStyle w:val="NoSpacing"/>
      <w:rPr>
        <w:sz w:val="28"/>
      </w:rPr>
    </w:pPr>
    <w:r>
      <w:rPr>
        <w:noProof/>
      </w:rPr>
      <w:drawing>
        <wp:anchor distT="0" distB="0" distL="114300" distR="114300" simplePos="0" relativeHeight="251657728" behindDoc="0" locked="0" layoutInCell="1" allowOverlap="1" wp14:anchorId="45652DD5" wp14:editId="559C2569">
          <wp:simplePos x="0" y="0"/>
          <wp:positionH relativeFrom="column">
            <wp:posOffset>4457700</wp:posOffset>
          </wp:positionH>
          <wp:positionV relativeFrom="paragraph">
            <wp:posOffset>-81915</wp:posOffset>
          </wp:positionV>
          <wp:extent cx="1524635" cy="557530"/>
          <wp:effectExtent l="0" t="0" r="0" b="0"/>
          <wp:wrapNone/>
          <wp:docPr id="1" name="Picture 1" descr="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pic:spPr>
              </pic:pic>
            </a:graphicData>
          </a:graphic>
          <wp14:sizeRelH relativeFrom="page">
            <wp14:pctWidth>0</wp14:pctWidth>
          </wp14:sizeRelH>
          <wp14:sizeRelV relativeFrom="page">
            <wp14:pctHeight>0</wp14:pctHeight>
          </wp14:sizeRelV>
        </wp:anchor>
      </w:drawing>
    </w:r>
    <w:r w:rsidR="00C52458" w:rsidRPr="00C52458">
      <w:rPr>
        <w:sz w:val="28"/>
      </w:rPr>
      <w:t xml:space="preserve">CTE Revitalization Grant </w:t>
    </w:r>
  </w:p>
  <w:p w:rsidR="00C52458" w:rsidRDefault="0088010E" w:rsidP="00C52458">
    <w:pPr>
      <w:pStyle w:val="NoSpacing"/>
    </w:pPr>
    <w:r>
      <w:t>Return on Investment</w:t>
    </w:r>
    <w:r w:rsidR="00EE2292">
      <w:t xml:space="preserve">   </w:t>
    </w:r>
    <w:r w:rsidR="002D5D70">
      <w:t xml:space="preserve">               </w:t>
    </w:r>
  </w:p>
  <w:p w:rsidR="00C52458" w:rsidRDefault="00C5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036"/>
    <w:multiLevelType w:val="multilevel"/>
    <w:tmpl w:val="EC5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87A4B"/>
    <w:multiLevelType w:val="hybridMultilevel"/>
    <w:tmpl w:val="C478B8DA"/>
    <w:lvl w:ilvl="0" w:tplc="1E7844C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D537A"/>
    <w:multiLevelType w:val="hybridMultilevel"/>
    <w:tmpl w:val="74D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evenAndOddHeader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0E"/>
    <w:rsid w:val="000366EE"/>
    <w:rsid w:val="000438A1"/>
    <w:rsid w:val="00061010"/>
    <w:rsid w:val="00085C1B"/>
    <w:rsid w:val="00136146"/>
    <w:rsid w:val="001F0616"/>
    <w:rsid w:val="0028050E"/>
    <w:rsid w:val="002B4EE7"/>
    <w:rsid w:val="002C7559"/>
    <w:rsid w:val="002D5D70"/>
    <w:rsid w:val="002F66E1"/>
    <w:rsid w:val="003018C4"/>
    <w:rsid w:val="003063B7"/>
    <w:rsid w:val="00383064"/>
    <w:rsid w:val="003D7A6A"/>
    <w:rsid w:val="0040381B"/>
    <w:rsid w:val="00410603"/>
    <w:rsid w:val="0041216A"/>
    <w:rsid w:val="00495D35"/>
    <w:rsid w:val="004B5DC3"/>
    <w:rsid w:val="005053AB"/>
    <w:rsid w:val="005440BE"/>
    <w:rsid w:val="005664BD"/>
    <w:rsid w:val="005A638C"/>
    <w:rsid w:val="00600249"/>
    <w:rsid w:val="00625BAC"/>
    <w:rsid w:val="006378E1"/>
    <w:rsid w:val="00643941"/>
    <w:rsid w:val="006463CC"/>
    <w:rsid w:val="0067477D"/>
    <w:rsid w:val="00697757"/>
    <w:rsid w:val="006C1712"/>
    <w:rsid w:val="006D561B"/>
    <w:rsid w:val="006E261C"/>
    <w:rsid w:val="00762285"/>
    <w:rsid w:val="0076631E"/>
    <w:rsid w:val="007B4CE1"/>
    <w:rsid w:val="00836E03"/>
    <w:rsid w:val="00836EF6"/>
    <w:rsid w:val="0085373B"/>
    <w:rsid w:val="0086531E"/>
    <w:rsid w:val="0086652F"/>
    <w:rsid w:val="0088010E"/>
    <w:rsid w:val="008D67AB"/>
    <w:rsid w:val="008F30BC"/>
    <w:rsid w:val="008F5939"/>
    <w:rsid w:val="008F5EB1"/>
    <w:rsid w:val="008F6E63"/>
    <w:rsid w:val="009B260C"/>
    <w:rsid w:val="009C5220"/>
    <w:rsid w:val="009D36F0"/>
    <w:rsid w:val="00A218C2"/>
    <w:rsid w:val="00A230FA"/>
    <w:rsid w:val="00A30874"/>
    <w:rsid w:val="00A3298B"/>
    <w:rsid w:val="00A56C87"/>
    <w:rsid w:val="00A94BFE"/>
    <w:rsid w:val="00AE2BA2"/>
    <w:rsid w:val="00B04943"/>
    <w:rsid w:val="00B419DE"/>
    <w:rsid w:val="00B92EE8"/>
    <w:rsid w:val="00C1458A"/>
    <w:rsid w:val="00C52458"/>
    <w:rsid w:val="00C84E92"/>
    <w:rsid w:val="00CC6CEE"/>
    <w:rsid w:val="00D208F1"/>
    <w:rsid w:val="00D263B7"/>
    <w:rsid w:val="00DA0D32"/>
    <w:rsid w:val="00DF6C15"/>
    <w:rsid w:val="00E02C14"/>
    <w:rsid w:val="00E4241E"/>
    <w:rsid w:val="00E44A4E"/>
    <w:rsid w:val="00E53629"/>
    <w:rsid w:val="00E7395F"/>
    <w:rsid w:val="00E83CA2"/>
    <w:rsid w:val="00EE2292"/>
    <w:rsid w:val="00EE54A7"/>
    <w:rsid w:val="00F22D46"/>
    <w:rsid w:val="00F23881"/>
    <w:rsid w:val="00F45316"/>
    <w:rsid w:val="00FD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E"/>
    <w:rPr>
      <w:rFonts w:ascii="Book Antiqua" w:hAnsi="Book Antiqu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uiPriority w:val="99"/>
    <w:unhideWhenUsed/>
    <w:rsid w:val="0088010E"/>
    <w:rPr>
      <w:color w:val="0000FF"/>
      <w:u w:val="single"/>
    </w:rPr>
  </w:style>
  <w:style w:type="paragraph" w:styleId="ListParagraph">
    <w:name w:val="List Paragraph"/>
    <w:basedOn w:val="Normal"/>
    <w:uiPriority w:val="34"/>
    <w:qFormat/>
    <w:rsid w:val="0088010E"/>
    <w:pPr>
      <w:ind w:left="720"/>
      <w:contextualSpacing/>
    </w:pPr>
  </w:style>
  <w:style w:type="paragraph" w:styleId="FootnoteText">
    <w:name w:val="footnote text"/>
    <w:basedOn w:val="Normal"/>
    <w:link w:val="FootnoteTextChar"/>
    <w:uiPriority w:val="99"/>
    <w:semiHidden/>
    <w:unhideWhenUsed/>
    <w:rsid w:val="00E4241E"/>
    <w:rPr>
      <w:szCs w:val="20"/>
    </w:rPr>
  </w:style>
  <w:style w:type="character" w:customStyle="1" w:styleId="FootnoteTextChar">
    <w:name w:val="Footnote Text Char"/>
    <w:link w:val="FootnoteText"/>
    <w:uiPriority w:val="99"/>
    <w:semiHidden/>
    <w:rsid w:val="00E4241E"/>
    <w:rPr>
      <w:rFonts w:ascii="Book Antiqua" w:hAnsi="Book Antiqua"/>
    </w:rPr>
  </w:style>
  <w:style w:type="character" w:styleId="FootnoteReference">
    <w:name w:val="footnote reference"/>
    <w:uiPriority w:val="99"/>
    <w:semiHidden/>
    <w:unhideWhenUsed/>
    <w:rsid w:val="00E4241E"/>
    <w:rPr>
      <w:vertAlign w:val="superscript"/>
    </w:rPr>
  </w:style>
  <w:style w:type="paragraph" w:styleId="EndnoteText">
    <w:name w:val="endnote text"/>
    <w:basedOn w:val="Normal"/>
    <w:link w:val="EndnoteTextChar"/>
    <w:uiPriority w:val="99"/>
    <w:semiHidden/>
    <w:unhideWhenUsed/>
    <w:rsid w:val="00C84E92"/>
    <w:rPr>
      <w:szCs w:val="20"/>
    </w:rPr>
  </w:style>
  <w:style w:type="character" w:customStyle="1" w:styleId="EndnoteTextChar">
    <w:name w:val="Endnote Text Char"/>
    <w:basedOn w:val="DefaultParagraphFont"/>
    <w:link w:val="EndnoteText"/>
    <w:uiPriority w:val="99"/>
    <w:semiHidden/>
    <w:rsid w:val="00C84E92"/>
    <w:rPr>
      <w:rFonts w:ascii="Book Antiqua" w:hAnsi="Book Antiqua"/>
    </w:rPr>
  </w:style>
  <w:style w:type="character" w:styleId="EndnoteReference">
    <w:name w:val="endnote reference"/>
    <w:basedOn w:val="DefaultParagraphFont"/>
    <w:uiPriority w:val="99"/>
    <w:semiHidden/>
    <w:unhideWhenUsed/>
    <w:rsid w:val="00C8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0E"/>
    <w:rPr>
      <w:rFonts w:ascii="Book Antiqua" w:hAnsi="Book Antiqu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uiPriority w:val="99"/>
    <w:unhideWhenUsed/>
    <w:rsid w:val="0088010E"/>
    <w:rPr>
      <w:color w:val="0000FF"/>
      <w:u w:val="single"/>
    </w:rPr>
  </w:style>
  <w:style w:type="paragraph" w:styleId="ListParagraph">
    <w:name w:val="List Paragraph"/>
    <w:basedOn w:val="Normal"/>
    <w:uiPriority w:val="34"/>
    <w:qFormat/>
    <w:rsid w:val="0088010E"/>
    <w:pPr>
      <w:ind w:left="720"/>
      <w:contextualSpacing/>
    </w:pPr>
  </w:style>
  <w:style w:type="paragraph" w:styleId="FootnoteText">
    <w:name w:val="footnote text"/>
    <w:basedOn w:val="Normal"/>
    <w:link w:val="FootnoteTextChar"/>
    <w:uiPriority w:val="99"/>
    <w:semiHidden/>
    <w:unhideWhenUsed/>
    <w:rsid w:val="00E4241E"/>
    <w:rPr>
      <w:szCs w:val="20"/>
    </w:rPr>
  </w:style>
  <w:style w:type="character" w:customStyle="1" w:styleId="FootnoteTextChar">
    <w:name w:val="Footnote Text Char"/>
    <w:link w:val="FootnoteText"/>
    <w:uiPriority w:val="99"/>
    <w:semiHidden/>
    <w:rsid w:val="00E4241E"/>
    <w:rPr>
      <w:rFonts w:ascii="Book Antiqua" w:hAnsi="Book Antiqua"/>
    </w:rPr>
  </w:style>
  <w:style w:type="character" w:styleId="FootnoteReference">
    <w:name w:val="footnote reference"/>
    <w:uiPriority w:val="99"/>
    <w:semiHidden/>
    <w:unhideWhenUsed/>
    <w:rsid w:val="00E4241E"/>
    <w:rPr>
      <w:vertAlign w:val="superscript"/>
    </w:rPr>
  </w:style>
  <w:style w:type="paragraph" w:styleId="EndnoteText">
    <w:name w:val="endnote text"/>
    <w:basedOn w:val="Normal"/>
    <w:link w:val="EndnoteTextChar"/>
    <w:uiPriority w:val="99"/>
    <w:semiHidden/>
    <w:unhideWhenUsed/>
    <w:rsid w:val="00C84E92"/>
    <w:rPr>
      <w:szCs w:val="20"/>
    </w:rPr>
  </w:style>
  <w:style w:type="character" w:customStyle="1" w:styleId="EndnoteTextChar">
    <w:name w:val="Endnote Text Char"/>
    <w:basedOn w:val="DefaultParagraphFont"/>
    <w:link w:val="EndnoteText"/>
    <w:uiPriority w:val="99"/>
    <w:semiHidden/>
    <w:rsid w:val="00C84E92"/>
    <w:rPr>
      <w:rFonts w:ascii="Book Antiqua" w:hAnsi="Book Antiqua"/>
    </w:rPr>
  </w:style>
  <w:style w:type="character" w:styleId="EndnoteReference">
    <w:name w:val="endnote reference"/>
    <w:basedOn w:val="DefaultParagraphFont"/>
    <w:uiPriority w:val="99"/>
    <w:semiHidden/>
    <w:unhideWhenUsed/>
    <w:rsid w:val="00C8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tb.wa.gov/" TargetMode="External"/><Relationship Id="rId3" Type="http://schemas.openxmlformats.org/officeDocument/2006/relationships/hyperlink" Target="http://www.acteonline.org/" TargetMode="External"/><Relationship Id="rId7" Type="http://schemas.openxmlformats.org/officeDocument/2006/relationships/hyperlink" Target="http://www.wtb.wa.gov/CTE2015Dashboard.asp" TargetMode="External"/><Relationship Id="rId2" Type="http://schemas.openxmlformats.org/officeDocument/2006/relationships/hyperlink" Target="http://www.acteonline.org/" TargetMode="External"/><Relationship Id="rId1" Type="http://schemas.openxmlformats.org/officeDocument/2006/relationships/hyperlink" Target="http://www.nrccte.org/resources/publications/conducting-return-investment-analyses-secondary-and-postsecondary-cte" TargetMode="External"/><Relationship Id="rId6" Type="http://schemas.openxmlformats.org/officeDocument/2006/relationships/hyperlink" Target="http://cascadepolicy.org/pdf/edref/2010_03_ORdropout.pdf" TargetMode="External"/><Relationship Id="rId5" Type="http://schemas.openxmlformats.org/officeDocument/2006/relationships/hyperlink" Target="http://gradnation.org/resource/building-gradnation-progress-and-challenge-ending-high-school-dropout-epidemic-2014" TargetMode="External"/><Relationship Id="rId4" Type="http://schemas.openxmlformats.org/officeDocument/2006/relationships/hyperlink" Target="http://all4ed.org/wp-content/uploads/2013/09/NationalStates_seb.pdf" TargetMode="External"/><Relationship Id="rId9" Type="http://schemas.openxmlformats.org/officeDocument/2006/relationships/hyperlink" Target="http://www.sreb.org/page/1078/high_schools_that_wor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eonel\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762E-455E-4CD3-9EF3-EB8E353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  Vertical Template.dot</Template>
  <TotalTime>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Simeone</dc:creator>
  <cp:lastModifiedBy>Linda Simeone</cp:lastModifiedBy>
  <cp:revision>5</cp:revision>
  <cp:lastPrinted>2015-07-02T21:20:00Z</cp:lastPrinted>
  <dcterms:created xsi:type="dcterms:W3CDTF">2015-06-02T20:37:00Z</dcterms:created>
  <dcterms:modified xsi:type="dcterms:W3CDTF">2015-07-02T21:23:00Z</dcterms:modified>
</cp:coreProperties>
</file>