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48" w:rsidRDefault="008F0C3B" w:rsidP="00FB2856">
      <w:pPr>
        <w:rPr>
          <w:noProof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540915BE" wp14:editId="7B93F103">
            <wp:extent cx="218122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892B62">
        <w:rPr>
          <w:noProof/>
        </w:rPr>
        <w:t xml:space="preserve">          </w:t>
      </w:r>
      <w:r w:rsidR="00892B62">
        <w:rPr>
          <w:noProof/>
        </w:rPr>
        <w:drawing>
          <wp:inline distT="0" distB="0" distL="0" distR="0" wp14:anchorId="0EE6CBE8" wp14:editId="4729400C">
            <wp:extent cx="3200400" cy="6913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E 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9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FB2856" w:rsidRDefault="00FB2856" w:rsidP="00FB2856">
      <w:pPr>
        <w:rPr>
          <w:rFonts w:asciiTheme="minorHAnsi" w:hAnsiTheme="minorHAnsi"/>
          <w:b/>
          <w:bCs/>
        </w:rPr>
      </w:pPr>
    </w:p>
    <w:p w:rsidR="00CD72AD" w:rsidRPr="00D36F1F" w:rsidRDefault="00CD72AD" w:rsidP="00DE0282">
      <w:pPr>
        <w:rPr>
          <w:rFonts w:asciiTheme="minorHAnsi" w:hAnsiTheme="minorHAnsi"/>
          <w:b/>
          <w:bCs/>
        </w:rPr>
      </w:pPr>
      <w:r w:rsidRPr="00D36F1F">
        <w:rPr>
          <w:rFonts w:asciiTheme="minorHAnsi" w:hAnsiTheme="minorHAnsi"/>
          <w:b/>
          <w:bCs/>
        </w:rPr>
        <w:t>Press release</w:t>
      </w:r>
    </w:p>
    <w:p w:rsidR="00DE0282" w:rsidRPr="00D36F1F" w:rsidRDefault="00CD72AD" w:rsidP="00DE0282">
      <w:pPr>
        <w:rPr>
          <w:rFonts w:asciiTheme="minorHAnsi" w:hAnsiTheme="minorHAnsi"/>
          <w:bCs/>
        </w:rPr>
      </w:pPr>
      <w:r w:rsidRPr="00D36F1F">
        <w:rPr>
          <w:rFonts w:asciiTheme="minorHAnsi" w:hAnsiTheme="minorHAnsi"/>
          <w:bCs/>
        </w:rPr>
        <w:t>For immediate release</w:t>
      </w:r>
    </w:p>
    <w:p w:rsidR="00DE0282" w:rsidRPr="00D36F1F" w:rsidRDefault="004556B7" w:rsidP="00DE028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July XX</w:t>
      </w:r>
      <w:r w:rsidR="00DE0282" w:rsidRPr="00D36F1F">
        <w:rPr>
          <w:rFonts w:asciiTheme="minorHAnsi" w:hAnsiTheme="minorHAnsi"/>
          <w:b/>
        </w:rPr>
        <w:t>, 2013</w:t>
      </w:r>
    </w:p>
    <w:p w:rsidR="00DE0282" w:rsidRPr="003C1531" w:rsidRDefault="00CD72AD" w:rsidP="00DE0282">
      <w:pPr>
        <w:rPr>
          <w:rFonts w:asciiTheme="minorHAnsi" w:hAnsiTheme="minorHAnsi"/>
        </w:rPr>
      </w:pPr>
      <w:r>
        <w:rPr>
          <w:rFonts w:asciiTheme="minorHAnsi" w:hAnsiTheme="minorHAnsi"/>
        </w:rPr>
        <w:t>Contact</w:t>
      </w:r>
      <w:r w:rsidR="00DE0282" w:rsidRPr="003C1531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="00DE0282" w:rsidRPr="003C1531">
        <w:rPr>
          <w:rFonts w:asciiTheme="minorHAnsi" w:hAnsiTheme="minorHAnsi"/>
        </w:rPr>
        <w:t> Charl</w:t>
      </w:r>
      <w:r w:rsidR="00417248">
        <w:rPr>
          <w:rFonts w:asciiTheme="minorHAnsi" w:hAnsiTheme="minorHAnsi"/>
        </w:rPr>
        <w:t xml:space="preserve">ie Burr, BOLI, (971) 673-0788 </w:t>
      </w:r>
      <w:r w:rsidR="00DE0282" w:rsidRPr="003C1531">
        <w:rPr>
          <w:rFonts w:asciiTheme="minorHAnsi" w:hAnsiTheme="minorHAnsi"/>
        </w:rPr>
        <w:t xml:space="preserve"> </w:t>
      </w:r>
    </w:p>
    <w:p w:rsidR="00DE0282" w:rsidRPr="003C1531" w:rsidRDefault="00DE0282" w:rsidP="00DE028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                            Crystal Greene, ODE, </w:t>
      </w:r>
      <w:r w:rsidR="009F29AE">
        <w:rPr>
          <w:rFonts w:asciiTheme="minorHAnsi" w:hAnsiTheme="minorHAnsi"/>
        </w:rPr>
        <w:t>(503) 947-5650</w:t>
      </w:r>
    </w:p>
    <w:p w:rsidR="00DE0282" w:rsidRPr="003C1531" w:rsidRDefault="00DE0282" w:rsidP="00DE0282">
      <w:pPr>
        <w:rPr>
          <w:rFonts w:asciiTheme="minorHAnsi" w:hAnsiTheme="minorHAnsi"/>
        </w:rPr>
      </w:pPr>
      <w:r w:rsidRPr="003C1531">
        <w:rPr>
          <w:rFonts w:asciiTheme="minorHAnsi" w:hAnsiTheme="minorHAnsi"/>
        </w:rPr>
        <w:t xml:space="preserve">                                </w:t>
      </w:r>
    </w:p>
    <w:p w:rsidR="00DE0282" w:rsidRPr="003C1531" w:rsidRDefault="004556B7" w:rsidP="00DE0282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Diverse group</w:t>
      </w:r>
      <w:r w:rsidR="007D048A">
        <w:rPr>
          <w:rFonts w:asciiTheme="minorHAnsi" w:hAnsiTheme="minorHAnsi"/>
          <w:b/>
          <w:bCs/>
        </w:rPr>
        <w:t xml:space="preserve"> of Oregonians will </w:t>
      </w:r>
      <w:r w:rsidR="00EA12CA">
        <w:rPr>
          <w:rFonts w:asciiTheme="minorHAnsi" w:hAnsiTheme="minorHAnsi"/>
          <w:b/>
          <w:bCs/>
        </w:rPr>
        <w:t>help direct</w:t>
      </w:r>
      <w:r w:rsidR="00711A0D">
        <w:rPr>
          <w:rFonts w:asciiTheme="minorHAnsi" w:hAnsiTheme="minorHAnsi"/>
          <w:b/>
          <w:bCs/>
        </w:rPr>
        <w:t xml:space="preserve"> career and technical education</w:t>
      </w:r>
      <w:r w:rsidR="007D048A">
        <w:rPr>
          <w:rFonts w:asciiTheme="minorHAnsi" w:hAnsiTheme="minorHAnsi"/>
          <w:b/>
          <w:bCs/>
        </w:rPr>
        <w:t xml:space="preserve"> </w:t>
      </w:r>
      <w:r w:rsidR="00FE0A8B">
        <w:rPr>
          <w:rFonts w:asciiTheme="minorHAnsi" w:hAnsiTheme="minorHAnsi"/>
          <w:b/>
          <w:bCs/>
        </w:rPr>
        <w:t>investment</w:t>
      </w:r>
    </w:p>
    <w:p w:rsidR="00FE0A8B" w:rsidRDefault="00FE0A8B" w:rsidP="00DE0282">
      <w:pPr>
        <w:jc w:val="center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“A highly skilled workforce is central to Oregon’s economic competitiveness,” says Avakian</w:t>
      </w:r>
    </w:p>
    <w:p w:rsidR="00DE0282" w:rsidRPr="003C1531" w:rsidRDefault="00DE0282" w:rsidP="00DE0282">
      <w:pPr>
        <w:rPr>
          <w:rFonts w:asciiTheme="minorHAnsi" w:hAnsiTheme="minorHAnsi"/>
        </w:rPr>
      </w:pPr>
    </w:p>
    <w:p w:rsidR="0011602A" w:rsidRDefault="00DE0282" w:rsidP="00DE0282">
      <w:pPr>
        <w:rPr>
          <w:rFonts w:asciiTheme="minorHAnsi" w:hAnsiTheme="minorHAnsi"/>
        </w:rPr>
      </w:pPr>
      <w:r w:rsidRPr="003C1531">
        <w:rPr>
          <w:rFonts w:asciiTheme="minorHAnsi" w:hAnsiTheme="minorHAnsi"/>
          <w:b/>
          <w:bCs/>
        </w:rPr>
        <w:t>PORTLAND, OR—</w:t>
      </w:r>
      <w:r w:rsidRPr="003C1531">
        <w:rPr>
          <w:rFonts w:asciiTheme="minorHAnsi" w:hAnsiTheme="minorHAnsi"/>
        </w:rPr>
        <w:t xml:space="preserve">Oregon Labor Commissioner Brad Avakian </w:t>
      </w:r>
      <w:r w:rsidR="009F29AE">
        <w:rPr>
          <w:rFonts w:asciiTheme="minorHAnsi" w:hAnsiTheme="minorHAnsi"/>
        </w:rPr>
        <w:t xml:space="preserve">and the Oregon </w:t>
      </w:r>
      <w:r w:rsidR="00F85651">
        <w:rPr>
          <w:rFonts w:asciiTheme="minorHAnsi" w:hAnsiTheme="minorHAnsi"/>
        </w:rPr>
        <w:t xml:space="preserve">Deputy Superintendent of Public Instruction Rob </w:t>
      </w:r>
      <w:proofErr w:type="spellStart"/>
      <w:r w:rsidR="00F85651">
        <w:rPr>
          <w:rFonts w:asciiTheme="minorHAnsi" w:hAnsiTheme="minorHAnsi"/>
        </w:rPr>
        <w:t>Saxton</w:t>
      </w:r>
      <w:r w:rsidR="009F29AE">
        <w:rPr>
          <w:rFonts w:asciiTheme="minorHAnsi" w:hAnsiTheme="minorHAnsi"/>
        </w:rPr>
        <w:t>today</w:t>
      </w:r>
      <w:proofErr w:type="spellEnd"/>
      <w:r w:rsidR="009F29AE">
        <w:rPr>
          <w:rFonts w:asciiTheme="minorHAnsi" w:hAnsiTheme="minorHAnsi"/>
        </w:rPr>
        <w:t xml:space="preserve"> announced appointees to the Career and Technical Education Revitalization Advi</w:t>
      </w:r>
      <w:r w:rsidR="00917C77">
        <w:rPr>
          <w:rFonts w:asciiTheme="minorHAnsi" w:hAnsiTheme="minorHAnsi"/>
        </w:rPr>
        <w:t>sory Committee that will support</w:t>
      </w:r>
      <w:r w:rsidR="009F29AE">
        <w:rPr>
          <w:rFonts w:asciiTheme="minorHAnsi" w:hAnsiTheme="minorHAnsi"/>
        </w:rPr>
        <w:t xml:space="preserve"> </w:t>
      </w:r>
      <w:r w:rsidR="008617A4">
        <w:rPr>
          <w:rFonts w:asciiTheme="minorHAnsi" w:hAnsiTheme="minorHAnsi"/>
        </w:rPr>
        <w:t xml:space="preserve">grant selection for </w:t>
      </w:r>
      <w:r w:rsidR="009F29AE">
        <w:rPr>
          <w:rFonts w:asciiTheme="minorHAnsi" w:hAnsiTheme="minorHAnsi"/>
        </w:rPr>
        <w:t xml:space="preserve">the </w:t>
      </w:r>
      <w:r w:rsidR="00F85651">
        <w:rPr>
          <w:rFonts w:asciiTheme="minorHAnsi" w:hAnsiTheme="minorHAnsi"/>
        </w:rPr>
        <w:t>L</w:t>
      </w:r>
      <w:r w:rsidR="009F29AE">
        <w:rPr>
          <w:rFonts w:asciiTheme="minorHAnsi" w:hAnsiTheme="minorHAnsi"/>
        </w:rPr>
        <w:t>egislature’</w:t>
      </w:r>
      <w:r w:rsidR="009F4552">
        <w:rPr>
          <w:rFonts w:asciiTheme="minorHAnsi" w:hAnsiTheme="minorHAnsi"/>
        </w:rPr>
        <w:t>s $7.5 million investment in career and technical education (CTE)</w:t>
      </w:r>
      <w:r w:rsidR="009F29AE">
        <w:rPr>
          <w:rFonts w:asciiTheme="minorHAnsi" w:hAnsiTheme="minorHAnsi"/>
        </w:rPr>
        <w:t xml:space="preserve"> programs.</w:t>
      </w:r>
    </w:p>
    <w:p w:rsidR="0011602A" w:rsidRDefault="0011602A" w:rsidP="00DE0282">
      <w:pPr>
        <w:rPr>
          <w:rFonts w:asciiTheme="minorHAnsi" w:hAnsiTheme="minorHAnsi"/>
        </w:rPr>
      </w:pPr>
    </w:p>
    <w:p w:rsidR="0011602A" w:rsidRDefault="004B42A3" w:rsidP="00DE0282">
      <w:pPr>
        <w:rPr>
          <w:rFonts w:asciiTheme="minorHAnsi" w:hAnsiTheme="minorHAnsi"/>
        </w:rPr>
      </w:pPr>
      <w:r w:rsidRPr="009F4552">
        <w:rPr>
          <w:rFonts w:asciiTheme="minorHAnsi" w:hAnsiTheme="minorHAnsi"/>
        </w:rPr>
        <w:t>“Oregon’s competitiveness is fundamentally linked to the availability of a skilled workforce,” said Avakian. “I appreciate this diverse group of Oregonians lending their time</w:t>
      </w:r>
      <w:r w:rsidR="007D048A">
        <w:rPr>
          <w:rFonts w:asciiTheme="minorHAnsi" w:hAnsiTheme="minorHAnsi"/>
        </w:rPr>
        <w:t xml:space="preserve"> and talents</w:t>
      </w:r>
      <w:r w:rsidRPr="009F4552">
        <w:rPr>
          <w:rFonts w:asciiTheme="minorHAnsi" w:hAnsiTheme="minorHAnsi"/>
        </w:rPr>
        <w:t xml:space="preserve"> </w:t>
      </w:r>
      <w:r w:rsidR="007D048A">
        <w:rPr>
          <w:rFonts w:asciiTheme="minorHAnsi" w:hAnsiTheme="minorHAnsi"/>
        </w:rPr>
        <w:t xml:space="preserve">to the restoration of </w:t>
      </w:r>
      <w:r w:rsidRPr="009F4552">
        <w:rPr>
          <w:rFonts w:asciiTheme="minorHAnsi" w:hAnsiTheme="minorHAnsi"/>
        </w:rPr>
        <w:t>shop classes that were once a staple of Oregon middle schools and high schools.</w:t>
      </w:r>
      <w:r w:rsidR="008617A4" w:rsidRPr="009F4552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</w:t>
      </w:r>
    </w:p>
    <w:p w:rsidR="009F29AE" w:rsidRDefault="009F29AE" w:rsidP="00DE0282">
      <w:pPr>
        <w:rPr>
          <w:rFonts w:asciiTheme="minorHAnsi" w:hAnsiTheme="minorHAnsi"/>
        </w:rPr>
      </w:pPr>
    </w:p>
    <w:p w:rsidR="004B42A3" w:rsidRDefault="004B42A3" w:rsidP="006D010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Oregon Department of Education </w:t>
      </w:r>
      <w:r w:rsidR="008617A4">
        <w:rPr>
          <w:rFonts w:asciiTheme="minorHAnsi" w:hAnsiTheme="minorHAnsi"/>
        </w:rPr>
        <w:t xml:space="preserve">(ODE) </w:t>
      </w:r>
      <w:r>
        <w:rPr>
          <w:rFonts w:asciiTheme="minorHAnsi" w:hAnsiTheme="minorHAnsi"/>
        </w:rPr>
        <w:t xml:space="preserve">and Bureau of Labor </w:t>
      </w:r>
      <w:r w:rsidR="00941410">
        <w:rPr>
          <w:rFonts w:asciiTheme="minorHAnsi" w:hAnsiTheme="minorHAnsi"/>
        </w:rPr>
        <w:t>and Indust</w:t>
      </w:r>
      <w:r w:rsidR="00B33012">
        <w:rPr>
          <w:rFonts w:asciiTheme="minorHAnsi" w:hAnsiTheme="minorHAnsi"/>
        </w:rPr>
        <w:t xml:space="preserve">ries </w:t>
      </w:r>
      <w:r w:rsidR="007D048A">
        <w:rPr>
          <w:rFonts w:asciiTheme="minorHAnsi" w:hAnsiTheme="minorHAnsi"/>
        </w:rPr>
        <w:t>(BOLI) jointly appointed</w:t>
      </w:r>
      <w:r w:rsidR="008617A4">
        <w:rPr>
          <w:rFonts w:asciiTheme="minorHAnsi" w:hAnsiTheme="minorHAnsi"/>
        </w:rPr>
        <w:t xml:space="preserve"> committee </w:t>
      </w:r>
      <w:r w:rsidR="00B33012">
        <w:rPr>
          <w:rFonts w:asciiTheme="minorHAnsi" w:hAnsiTheme="minorHAnsi"/>
        </w:rPr>
        <w:t>members</w:t>
      </w:r>
      <w:r w:rsidR="008617A4">
        <w:rPr>
          <w:rFonts w:asciiTheme="minorHAnsi" w:hAnsiTheme="minorHAnsi"/>
        </w:rPr>
        <w:t>, including representatives</w:t>
      </w:r>
      <w:r w:rsidR="00B33012">
        <w:rPr>
          <w:rFonts w:asciiTheme="minorHAnsi" w:hAnsiTheme="minorHAnsi"/>
        </w:rPr>
        <w:t xml:space="preserve"> from organized labor, trade organizations, education</w:t>
      </w:r>
      <w:r w:rsidR="00F85651">
        <w:rPr>
          <w:rFonts w:asciiTheme="minorHAnsi" w:hAnsiTheme="minorHAnsi"/>
        </w:rPr>
        <w:t>,</w:t>
      </w:r>
      <w:r w:rsidR="00B33012">
        <w:rPr>
          <w:rFonts w:asciiTheme="minorHAnsi" w:hAnsiTheme="minorHAnsi"/>
        </w:rPr>
        <w:t xml:space="preserve"> and Oregon’s business community.</w:t>
      </w:r>
      <w:r w:rsidR="008617A4">
        <w:rPr>
          <w:rFonts w:asciiTheme="minorHAnsi" w:hAnsiTheme="minorHAnsi"/>
        </w:rPr>
        <w:t xml:space="preserve"> </w:t>
      </w:r>
    </w:p>
    <w:p w:rsidR="004556B7" w:rsidRPr="004556B7" w:rsidRDefault="004556B7" w:rsidP="006D0104">
      <w:pPr>
        <w:rPr>
          <w:rFonts w:asciiTheme="minorHAnsi" w:hAnsiTheme="minorHAnsi"/>
        </w:rPr>
      </w:pPr>
    </w:p>
    <w:p w:rsidR="00941410" w:rsidRPr="00FE0A8B" w:rsidRDefault="00941410" w:rsidP="006D0104">
      <w:pPr>
        <w:rPr>
          <w:rFonts w:asciiTheme="minorHAnsi" w:hAnsiTheme="minorHAnsi"/>
        </w:rPr>
      </w:pPr>
      <w:r w:rsidRPr="00941410">
        <w:rPr>
          <w:rFonts w:asciiTheme="minorHAnsi" w:hAnsiTheme="minorHAnsi"/>
          <w:b/>
          <w:u w:val="single"/>
        </w:rPr>
        <w:t>The 2013 Career and Technical Education Revitalization Advisory Committee</w:t>
      </w:r>
      <w:r w:rsidR="00104BE2" w:rsidRPr="00FE0A8B">
        <w:rPr>
          <w:rFonts w:asciiTheme="minorHAnsi" w:hAnsiTheme="minorHAnsi"/>
        </w:rPr>
        <w:t>:</w:t>
      </w:r>
    </w:p>
    <w:p w:rsidR="007825F2" w:rsidRDefault="007825F2" w:rsidP="006D0104">
      <w:pPr>
        <w:rPr>
          <w:rFonts w:asciiTheme="minorHAnsi" w:hAnsiTheme="minorHAnsi"/>
          <w:b/>
        </w:rPr>
        <w:sectPr w:rsidR="007825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5056" w:rsidRDefault="00355056" w:rsidP="006D0104">
      <w:pPr>
        <w:rPr>
          <w:rFonts w:asciiTheme="minorHAnsi" w:hAnsiTheme="minorHAnsi"/>
          <w:b/>
        </w:rPr>
      </w:pPr>
    </w:p>
    <w:p w:rsidR="006D0104" w:rsidRPr="00FE0A8B" w:rsidRDefault="006D0104" w:rsidP="006D0104">
      <w:pPr>
        <w:rPr>
          <w:rFonts w:asciiTheme="minorHAnsi" w:hAnsiTheme="minorHAnsi"/>
        </w:rPr>
      </w:pPr>
      <w:r w:rsidRPr="00941410">
        <w:rPr>
          <w:rFonts w:asciiTheme="minorHAnsi" w:hAnsiTheme="minorHAnsi"/>
          <w:b/>
        </w:rPr>
        <w:t>Andrew Beyer</w:t>
      </w:r>
      <w:r w:rsidR="00175B18">
        <w:rPr>
          <w:rFonts w:asciiTheme="minorHAnsi" w:hAnsiTheme="minorHAnsi"/>
        </w:rPr>
        <w:t xml:space="preserve">, Lease </w:t>
      </w:r>
      <w:proofErr w:type="spellStart"/>
      <w:r w:rsidR="00175B18">
        <w:rPr>
          <w:rFonts w:asciiTheme="minorHAnsi" w:hAnsiTheme="minorHAnsi"/>
        </w:rPr>
        <w:t>Crutcher</w:t>
      </w:r>
      <w:proofErr w:type="spellEnd"/>
      <w:r w:rsidRPr="00FE0A8B">
        <w:rPr>
          <w:rFonts w:asciiTheme="minorHAnsi" w:hAnsiTheme="minorHAnsi"/>
        </w:rPr>
        <w:t xml:space="preserve"> Lewis</w:t>
      </w:r>
    </w:p>
    <w:p w:rsidR="006D0104" w:rsidRPr="00FE0A8B" w:rsidRDefault="006D0104" w:rsidP="006D0104">
      <w:pPr>
        <w:rPr>
          <w:rFonts w:asciiTheme="minorHAnsi" w:hAnsiTheme="minorHAnsi"/>
          <w:noProof/>
          <w:sz w:val="36"/>
        </w:rPr>
      </w:pPr>
      <w:r w:rsidRPr="00941410">
        <w:rPr>
          <w:rFonts w:asciiTheme="minorHAnsi" w:hAnsiTheme="minorHAnsi"/>
          <w:b/>
        </w:rPr>
        <w:t>Jon Chandler</w:t>
      </w:r>
      <w:r w:rsidRPr="00FE0A8B">
        <w:rPr>
          <w:rFonts w:asciiTheme="minorHAnsi" w:hAnsiTheme="minorHAnsi"/>
        </w:rPr>
        <w:t>, Oregon Homebuilders Association</w:t>
      </w:r>
    </w:p>
    <w:p w:rsidR="006D0104" w:rsidRPr="00FE0A8B" w:rsidRDefault="006D0104" w:rsidP="006D0104">
      <w:pPr>
        <w:rPr>
          <w:rFonts w:asciiTheme="minorHAnsi" w:hAnsiTheme="minorHAnsi"/>
        </w:rPr>
      </w:pPr>
      <w:r w:rsidRPr="00941410">
        <w:rPr>
          <w:rFonts w:asciiTheme="minorHAnsi" w:hAnsiTheme="minorHAnsi"/>
          <w:b/>
        </w:rPr>
        <w:t>Sherry Cole</w:t>
      </w:r>
      <w:r w:rsidRPr="00FE0A8B">
        <w:rPr>
          <w:rFonts w:asciiTheme="minorHAnsi" w:hAnsiTheme="minorHAnsi"/>
        </w:rPr>
        <w:t>, CTE Regional Coordinator – Baker, Union, Grant, Wallowa Counties</w:t>
      </w:r>
    </w:p>
    <w:p w:rsidR="006D0104" w:rsidRPr="00FE0A8B" w:rsidRDefault="006D0104" w:rsidP="006D0104">
      <w:pPr>
        <w:rPr>
          <w:rFonts w:asciiTheme="minorHAnsi" w:hAnsiTheme="minorHAnsi"/>
        </w:rPr>
      </w:pPr>
      <w:r w:rsidRPr="00941410">
        <w:rPr>
          <w:rFonts w:asciiTheme="minorHAnsi" w:hAnsiTheme="minorHAnsi"/>
          <w:b/>
        </w:rPr>
        <w:t>Dirk Dirksen</w:t>
      </w:r>
      <w:r w:rsidRPr="00FE0A8B">
        <w:rPr>
          <w:rFonts w:asciiTheme="minorHAnsi" w:hAnsiTheme="minorHAnsi"/>
        </w:rPr>
        <w:t>, Morrow County School District</w:t>
      </w:r>
    </w:p>
    <w:p w:rsidR="006D0104" w:rsidRPr="00FE0A8B" w:rsidRDefault="006D0104" w:rsidP="006D0104">
      <w:pPr>
        <w:rPr>
          <w:rFonts w:asciiTheme="minorHAnsi" w:hAnsiTheme="minorHAnsi"/>
        </w:rPr>
      </w:pPr>
      <w:r w:rsidRPr="00941410">
        <w:rPr>
          <w:rFonts w:asciiTheme="minorHAnsi" w:hAnsiTheme="minorHAnsi"/>
          <w:b/>
        </w:rPr>
        <w:t>Dan Findley</w:t>
      </w:r>
      <w:r w:rsidRPr="00FE0A8B">
        <w:rPr>
          <w:rFonts w:asciiTheme="minorHAnsi" w:hAnsiTheme="minorHAnsi"/>
        </w:rPr>
        <w:t>, Portland Community College</w:t>
      </w:r>
    </w:p>
    <w:p w:rsidR="006D0104" w:rsidRPr="00FE0A8B" w:rsidRDefault="006D0104" w:rsidP="006D0104">
      <w:pPr>
        <w:rPr>
          <w:rFonts w:asciiTheme="minorHAnsi" w:hAnsiTheme="minorHAnsi"/>
        </w:rPr>
      </w:pPr>
      <w:r w:rsidRPr="00941410">
        <w:rPr>
          <w:rFonts w:asciiTheme="minorHAnsi" w:hAnsiTheme="minorHAnsi"/>
          <w:b/>
        </w:rPr>
        <w:t xml:space="preserve">Cheri </w:t>
      </w:r>
      <w:proofErr w:type="spellStart"/>
      <w:r w:rsidRPr="00941410">
        <w:rPr>
          <w:rFonts w:asciiTheme="minorHAnsi" w:hAnsiTheme="minorHAnsi"/>
          <w:b/>
        </w:rPr>
        <w:t>Helt</w:t>
      </w:r>
      <w:proofErr w:type="spellEnd"/>
      <w:r w:rsidRPr="00FE0A8B">
        <w:rPr>
          <w:rFonts w:asciiTheme="minorHAnsi" w:hAnsiTheme="minorHAnsi"/>
        </w:rPr>
        <w:t>, Bend-</w:t>
      </w:r>
      <w:proofErr w:type="spellStart"/>
      <w:r w:rsidRPr="00FE0A8B">
        <w:rPr>
          <w:rFonts w:asciiTheme="minorHAnsi" w:hAnsiTheme="minorHAnsi"/>
        </w:rPr>
        <w:t>LaPine</w:t>
      </w:r>
      <w:proofErr w:type="spellEnd"/>
      <w:r w:rsidRPr="00FE0A8B">
        <w:rPr>
          <w:rFonts w:asciiTheme="minorHAnsi" w:hAnsiTheme="minorHAnsi"/>
        </w:rPr>
        <w:t xml:space="preserve"> School District</w:t>
      </w:r>
    </w:p>
    <w:p w:rsidR="006D0104" w:rsidRDefault="006D0104" w:rsidP="006D0104">
      <w:pPr>
        <w:rPr>
          <w:rFonts w:asciiTheme="minorHAnsi" w:hAnsiTheme="minorHAnsi"/>
        </w:rPr>
      </w:pPr>
      <w:r w:rsidRPr="00941410">
        <w:rPr>
          <w:rFonts w:asciiTheme="minorHAnsi" w:hAnsiTheme="minorHAnsi"/>
          <w:b/>
        </w:rPr>
        <w:t>Brian Krieg</w:t>
      </w:r>
      <w:r w:rsidRPr="00FE0A8B">
        <w:rPr>
          <w:rFonts w:asciiTheme="minorHAnsi" w:hAnsiTheme="minorHAnsi"/>
        </w:rPr>
        <w:t>, Sheet Metal Contractors Association</w:t>
      </w:r>
    </w:p>
    <w:p w:rsidR="00355056" w:rsidRDefault="00355056" w:rsidP="00355056">
      <w:pPr>
        <w:rPr>
          <w:rFonts w:asciiTheme="minorHAnsi" w:hAnsiTheme="minorHAnsi"/>
          <w:b/>
        </w:rPr>
      </w:pPr>
    </w:p>
    <w:p w:rsidR="00355056" w:rsidRDefault="00355056" w:rsidP="00355056">
      <w:pPr>
        <w:rPr>
          <w:rFonts w:asciiTheme="minorHAnsi" w:hAnsiTheme="minorHAnsi"/>
          <w:b/>
        </w:rPr>
      </w:pPr>
    </w:p>
    <w:p w:rsidR="00355056" w:rsidRPr="00FE0A8B" w:rsidRDefault="00355056" w:rsidP="00355056">
      <w:pPr>
        <w:rPr>
          <w:rFonts w:asciiTheme="minorHAnsi" w:hAnsiTheme="minorHAnsi"/>
        </w:rPr>
      </w:pPr>
      <w:r w:rsidRPr="00941410">
        <w:rPr>
          <w:rFonts w:asciiTheme="minorHAnsi" w:hAnsiTheme="minorHAnsi"/>
          <w:b/>
        </w:rPr>
        <w:t xml:space="preserve">Jim </w:t>
      </w:r>
      <w:proofErr w:type="spellStart"/>
      <w:r w:rsidRPr="00941410">
        <w:rPr>
          <w:rFonts w:asciiTheme="minorHAnsi" w:hAnsiTheme="minorHAnsi"/>
          <w:b/>
        </w:rPr>
        <w:t>Mabbott</w:t>
      </w:r>
      <w:proofErr w:type="spellEnd"/>
      <w:r w:rsidRPr="00FE0A8B">
        <w:rPr>
          <w:rFonts w:asciiTheme="minorHAnsi" w:hAnsiTheme="minorHAnsi"/>
        </w:rPr>
        <w:t>, Oregon Association of Education Service Districts</w:t>
      </w:r>
    </w:p>
    <w:p w:rsidR="006D0104" w:rsidRPr="00FE0A8B" w:rsidRDefault="006D0104" w:rsidP="006D0104">
      <w:pPr>
        <w:rPr>
          <w:rFonts w:asciiTheme="minorHAnsi" w:hAnsiTheme="minorHAnsi"/>
        </w:rPr>
      </w:pPr>
      <w:r w:rsidRPr="00941410">
        <w:rPr>
          <w:rFonts w:asciiTheme="minorHAnsi" w:hAnsiTheme="minorHAnsi"/>
          <w:b/>
        </w:rPr>
        <w:t xml:space="preserve">John </w:t>
      </w:r>
      <w:proofErr w:type="spellStart"/>
      <w:r w:rsidRPr="00941410">
        <w:rPr>
          <w:rFonts w:asciiTheme="minorHAnsi" w:hAnsiTheme="minorHAnsi"/>
          <w:b/>
        </w:rPr>
        <w:t>Mohlis</w:t>
      </w:r>
      <w:proofErr w:type="spellEnd"/>
      <w:r w:rsidRPr="00FE0A8B">
        <w:rPr>
          <w:rFonts w:asciiTheme="minorHAnsi" w:hAnsiTheme="minorHAnsi"/>
        </w:rPr>
        <w:t>, Oregon State Building and Construction Trades Council</w:t>
      </w:r>
    </w:p>
    <w:p w:rsidR="006D0104" w:rsidRPr="00FE0A8B" w:rsidRDefault="006D0104" w:rsidP="006D0104">
      <w:pPr>
        <w:rPr>
          <w:rFonts w:asciiTheme="minorHAnsi" w:hAnsiTheme="minorHAnsi"/>
        </w:rPr>
      </w:pPr>
      <w:r w:rsidRPr="00941410">
        <w:rPr>
          <w:rFonts w:asciiTheme="minorHAnsi" w:hAnsiTheme="minorHAnsi"/>
          <w:b/>
        </w:rPr>
        <w:t>John Morris</w:t>
      </w:r>
      <w:r w:rsidRPr="00FE0A8B">
        <w:rPr>
          <w:rFonts w:asciiTheme="minorHAnsi" w:hAnsiTheme="minorHAnsi"/>
        </w:rPr>
        <w:t>, Fluid Market Strategies</w:t>
      </w:r>
    </w:p>
    <w:p w:rsidR="006D0104" w:rsidRPr="00FE0A8B" w:rsidRDefault="006D0104" w:rsidP="006D0104">
      <w:pPr>
        <w:rPr>
          <w:rFonts w:asciiTheme="minorHAnsi" w:hAnsiTheme="minorHAnsi"/>
        </w:rPr>
      </w:pPr>
      <w:r w:rsidRPr="00941410">
        <w:rPr>
          <w:rFonts w:asciiTheme="minorHAnsi" w:hAnsiTheme="minorHAnsi"/>
          <w:b/>
        </w:rPr>
        <w:t>Salam Noor</w:t>
      </w:r>
      <w:r w:rsidRPr="00FE0A8B">
        <w:rPr>
          <w:rFonts w:asciiTheme="minorHAnsi" w:hAnsiTheme="minorHAnsi"/>
        </w:rPr>
        <w:t>, Salem-Keizer School District</w:t>
      </w:r>
    </w:p>
    <w:p w:rsidR="006D0104" w:rsidRPr="00FE0A8B" w:rsidRDefault="006E2517" w:rsidP="006D0104">
      <w:pPr>
        <w:rPr>
          <w:rFonts w:asciiTheme="minorHAnsi" w:hAnsiTheme="minorHAnsi"/>
        </w:rPr>
      </w:pPr>
      <w:r w:rsidRPr="00941410">
        <w:rPr>
          <w:rFonts w:asciiTheme="minorHAnsi" w:hAnsiTheme="minorHAnsi"/>
          <w:b/>
        </w:rPr>
        <w:t>Joe Nunn</w:t>
      </w:r>
      <w:r w:rsidRPr="00FE0A8B">
        <w:rPr>
          <w:rFonts w:asciiTheme="minorHAnsi" w:hAnsiTheme="minorHAnsi"/>
        </w:rPr>
        <w:t>, Project Clean Slate</w:t>
      </w:r>
    </w:p>
    <w:p w:rsidR="006E2517" w:rsidRPr="00FE0A8B" w:rsidRDefault="006E2517" w:rsidP="006D0104">
      <w:pPr>
        <w:rPr>
          <w:rFonts w:asciiTheme="minorHAnsi" w:hAnsiTheme="minorHAnsi"/>
        </w:rPr>
      </w:pPr>
      <w:r w:rsidRPr="00941410">
        <w:rPr>
          <w:rFonts w:asciiTheme="minorHAnsi" w:hAnsiTheme="minorHAnsi"/>
          <w:b/>
        </w:rPr>
        <w:t xml:space="preserve">Lori </w:t>
      </w:r>
      <w:proofErr w:type="spellStart"/>
      <w:r w:rsidRPr="00941410">
        <w:rPr>
          <w:rFonts w:asciiTheme="minorHAnsi" w:hAnsiTheme="minorHAnsi"/>
          <w:b/>
        </w:rPr>
        <w:t>Pankratz</w:t>
      </w:r>
      <w:proofErr w:type="spellEnd"/>
      <w:r w:rsidRPr="00FE0A8B">
        <w:rPr>
          <w:rFonts w:asciiTheme="minorHAnsi" w:hAnsiTheme="minorHAnsi"/>
        </w:rPr>
        <w:t>,</w:t>
      </w:r>
      <w:r w:rsidR="00F531D6" w:rsidRPr="00FE0A8B">
        <w:rPr>
          <w:rFonts w:asciiTheme="minorHAnsi" w:hAnsiTheme="minorHAnsi"/>
        </w:rPr>
        <w:t xml:space="preserve"> Oregon CTE Student Leadership Foundation</w:t>
      </w:r>
    </w:p>
    <w:p w:rsidR="006E2517" w:rsidRPr="00FE0A8B" w:rsidRDefault="00F531D6" w:rsidP="006D0104">
      <w:pPr>
        <w:rPr>
          <w:rFonts w:asciiTheme="minorHAnsi" w:hAnsiTheme="minorHAnsi"/>
        </w:rPr>
      </w:pPr>
      <w:r w:rsidRPr="00941410">
        <w:rPr>
          <w:rFonts w:asciiTheme="minorHAnsi" w:hAnsiTheme="minorHAnsi"/>
          <w:b/>
        </w:rPr>
        <w:t xml:space="preserve">John </w:t>
      </w:r>
      <w:proofErr w:type="spellStart"/>
      <w:r w:rsidRPr="00941410">
        <w:rPr>
          <w:rFonts w:asciiTheme="minorHAnsi" w:hAnsiTheme="minorHAnsi"/>
          <w:b/>
        </w:rPr>
        <w:t>Steach</w:t>
      </w:r>
      <w:proofErr w:type="spellEnd"/>
      <w:r w:rsidRPr="00FE0A8B">
        <w:rPr>
          <w:rFonts w:asciiTheme="minorHAnsi" w:hAnsiTheme="minorHAnsi"/>
        </w:rPr>
        <w:t>, Canby School District</w:t>
      </w:r>
    </w:p>
    <w:p w:rsidR="006E2517" w:rsidRPr="00FE0A8B" w:rsidRDefault="00F531D6" w:rsidP="006D0104">
      <w:pPr>
        <w:rPr>
          <w:rFonts w:asciiTheme="minorHAnsi" w:hAnsiTheme="minorHAnsi"/>
        </w:rPr>
      </w:pPr>
      <w:r w:rsidRPr="00941410">
        <w:rPr>
          <w:rFonts w:asciiTheme="minorHAnsi" w:hAnsiTheme="minorHAnsi"/>
          <w:b/>
        </w:rPr>
        <w:t xml:space="preserve">Dave </w:t>
      </w:r>
      <w:proofErr w:type="spellStart"/>
      <w:r w:rsidRPr="00941410">
        <w:rPr>
          <w:rFonts w:asciiTheme="minorHAnsi" w:hAnsiTheme="minorHAnsi"/>
          <w:b/>
        </w:rPr>
        <w:t>Vernier</w:t>
      </w:r>
      <w:proofErr w:type="spellEnd"/>
      <w:r w:rsidRPr="00FE0A8B">
        <w:rPr>
          <w:rFonts w:asciiTheme="minorHAnsi" w:hAnsiTheme="minorHAnsi"/>
        </w:rPr>
        <w:t xml:space="preserve">, </w:t>
      </w:r>
      <w:proofErr w:type="spellStart"/>
      <w:r w:rsidRPr="00FE0A8B">
        <w:rPr>
          <w:rFonts w:asciiTheme="minorHAnsi" w:hAnsiTheme="minorHAnsi"/>
        </w:rPr>
        <w:t>Vernier</w:t>
      </w:r>
      <w:proofErr w:type="spellEnd"/>
      <w:r w:rsidRPr="00FE0A8B">
        <w:rPr>
          <w:rFonts w:asciiTheme="minorHAnsi" w:hAnsiTheme="minorHAnsi"/>
        </w:rPr>
        <w:t xml:space="preserve"> Technologies</w:t>
      </w:r>
    </w:p>
    <w:p w:rsidR="007825F2" w:rsidRDefault="00F531D6" w:rsidP="006D0104">
      <w:pPr>
        <w:rPr>
          <w:rFonts w:asciiTheme="minorHAnsi" w:hAnsiTheme="minorHAnsi"/>
        </w:rPr>
        <w:sectPr w:rsidR="007825F2" w:rsidSect="007825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82657">
        <w:rPr>
          <w:rFonts w:asciiTheme="minorHAnsi" w:hAnsiTheme="minorHAnsi"/>
          <w:b/>
        </w:rPr>
        <w:t>Judith Woodruff</w:t>
      </w:r>
      <w:r w:rsidRPr="00FE0A8B">
        <w:rPr>
          <w:rFonts w:asciiTheme="minorHAnsi" w:hAnsiTheme="minorHAnsi"/>
        </w:rPr>
        <w:t>, Independent Consultant</w:t>
      </w:r>
    </w:p>
    <w:p w:rsidR="009F4552" w:rsidRDefault="009F4552" w:rsidP="006D0104">
      <w:pPr>
        <w:rPr>
          <w:rFonts w:asciiTheme="minorHAnsi" w:hAnsiTheme="minorHAnsi"/>
        </w:rPr>
      </w:pPr>
    </w:p>
    <w:p w:rsidR="00FE0A8B" w:rsidRDefault="009F4552" w:rsidP="006D0104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 2012</w:t>
      </w:r>
      <w:r w:rsidR="00182657">
        <w:rPr>
          <w:rFonts w:asciiTheme="minorHAnsi" w:hAnsiTheme="minorHAnsi"/>
        </w:rPr>
        <w:t>, the legislature dir</w:t>
      </w:r>
      <w:r>
        <w:rPr>
          <w:rFonts w:asciiTheme="minorHAnsi" w:hAnsiTheme="minorHAnsi"/>
        </w:rPr>
        <w:t>ected resources to bring back</w:t>
      </w:r>
      <w:r w:rsidR="00182657">
        <w:rPr>
          <w:rFonts w:asciiTheme="minorHAnsi" w:hAnsiTheme="minorHAnsi"/>
        </w:rPr>
        <w:t xml:space="preserve"> shop </w:t>
      </w:r>
      <w:r>
        <w:rPr>
          <w:rFonts w:asciiTheme="minorHAnsi" w:hAnsiTheme="minorHAnsi"/>
        </w:rPr>
        <w:t>and vocational programs</w:t>
      </w:r>
      <w:r w:rsidR="00182657">
        <w:rPr>
          <w:rFonts w:asciiTheme="minorHAnsi" w:hAnsiTheme="minorHAnsi"/>
        </w:rPr>
        <w:t xml:space="preserve"> to 21 middle and high schools around the state. During the 2013 Oregon Legislative Session, </w:t>
      </w:r>
      <w:r w:rsidR="0029703F" w:rsidRPr="007D048A">
        <w:rPr>
          <w:rFonts w:asciiTheme="minorHAnsi" w:hAnsiTheme="minorHAnsi"/>
          <w:b/>
        </w:rPr>
        <w:t xml:space="preserve">Senate </w:t>
      </w:r>
      <w:r w:rsidR="00C6354F" w:rsidRPr="007D048A">
        <w:rPr>
          <w:rFonts w:asciiTheme="minorHAnsi" w:hAnsiTheme="minorHAnsi"/>
          <w:b/>
        </w:rPr>
        <w:t>Majority Leader Diane Rosenbaum</w:t>
      </w:r>
      <w:r w:rsidR="00C6354F">
        <w:rPr>
          <w:rFonts w:asciiTheme="minorHAnsi" w:hAnsiTheme="minorHAnsi"/>
        </w:rPr>
        <w:t xml:space="preserve"> and </w:t>
      </w:r>
      <w:r w:rsidR="00C6354F" w:rsidRPr="007D048A">
        <w:rPr>
          <w:rFonts w:asciiTheme="minorHAnsi" w:hAnsiTheme="minorHAnsi"/>
          <w:b/>
        </w:rPr>
        <w:t xml:space="preserve">Rep. Michael </w:t>
      </w:r>
      <w:proofErr w:type="spellStart"/>
      <w:r w:rsidR="00C6354F" w:rsidRPr="007D048A">
        <w:rPr>
          <w:rFonts w:asciiTheme="minorHAnsi" w:hAnsiTheme="minorHAnsi"/>
          <w:b/>
        </w:rPr>
        <w:t>Dembrow</w:t>
      </w:r>
      <w:proofErr w:type="spellEnd"/>
      <w:r w:rsidR="00C6354F">
        <w:rPr>
          <w:rFonts w:asciiTheme="minorHAnsi" w:hAnsiTheme="minorHAnsi"/>
        </w:rPr>
        <w:t xml:space="preserve"> sponsored</w:t>
      </w:r>
      <w:r w:rsidR="002E1B4A">
        <w:rPr>
          <w:rFonts w:asciiTheme="minorHAnsi" w:hAnsiTheme="minorHAnsi"/>
        </w:rPr>
        <w:t xml:space="preserve"> and passed</w:t>
      </w:r>
      <w:r w:rsidR="00C6354F">
        <w:rPr>
          <w:rFonts w:asciiTheme="minorHAnsi" w:hAnsiTheme="minorHAnsi"/>
        </w:rPr>
        <w:t xml:space="preserve"> legislation </w:t>
      </w:r>
      <w:r w:rsidR="002E1B4A">
        <w:rPr>
          <w:rFonts w:asciiTheme="minorHAnsi" w:hAnsiTheme="minorHAnsi"/>
        </w:rPr>
        <w:t xml:space="preserve">(SB 498) </w:t>
      </w:r>
      <w:r w:rsidR="00C6354F">
        <w:rPr>
          <w:rFonts w:asciiTheme="minorHAnsi" w:hAnsiTheme="minorHAnsi"/>
        </w:rPr>
        <w:t>that nearly quadrupled the</w:t>
      </w:r>
      <w:r w:rsidR="00182657">
        <w:rPr>
          <w:rFonts w:asciiTheme="minorHAnsi" w:hAnsiTheme="minorHAnsi"/>
        </w:rPr>
        <w:t xml:space="preserve"> </w:t>
      </w:r>
      <w:r w:rsidR="00C6354F">
        <w:rPr>
          <w:rFonts w:asciiTheme="minorHAnsi" w:hAnsiTheme="minorHAnsi"/>
        </w:rPr>
        <w:t xml:space="preserve">initial </w:t>
      </w:r>
      <w:r w:rsidR="00182657">
        <w:rPr>
          <w:rFonts w:asciiTheme="minorHAnsi" w:hAnsiTheme="minorHAnsi"/>
        </w:rPr>
        <w:t>investment to extend hands-on learning to more Oregon students.</w:t>
      </w:r>
    </w:p>
    <w:p w:rsidR="00182657" w:rsidRDefault="00182657" w:rsidP="006D0104">
      <w:pPr>
        <w:rPr>
          <w:rFonts w:asciiTheme="minorHAnsi" w:hAnsiTheme="minorHAnsi"/>
        </w:rPr>
      </w:pPr>
    </w:p>
    <w:p w:rsidR="00564EDE" w:rsidRDefault="00F85651" w:rsidP="00564ED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“High-quality career and technical education programs provide students with opportunities to explore possible future careers </w:t>
      </w:r>
      <w:r w:rsidR="00564EDE">
        <w:rPr>
          <w:rFonts w:asciiTheme="minorHAnsi" w:hAnsiTheme="minorHAnsi"/>
        </w:rPr>
        <w:t xml:space="preserve">and gain valuable real-word, hands-on experience while in high school,” said Deputy Superintendent Rob Saxton.  “As we strive to prepare all of our students for college and career success, expanding CTE programs - and creating stronger connections to the world of work - is a critical component. </w:t>
      </w:r>
      <w:r w:rsidR="001976AE">
        <w:rPr>
          <w:rFonts w:asciiTheme="minorHAnsi" w:hAnsiTheme="minorHAnsi"/>
        </w:rPr>
        <w:t>These grants provide our school with an opportunity to take the work they are already doing to the next level and I look forward to a highly competitive and highly rewarding CTE grant process.</w:t>
      </w:r>
    </w:p>
    <w:p w:rsidR="00182657" w:rsidRPr="00E950CC" w:rsidRDefault="00F23949" w:rsidP="006D010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The </w:t>
      </w:r>
      <w:r w:rsidR="00D22E27">
        <w:rPr>
          <w:rFonts w:asciiTheme="minorHAnsi" w:hAnsiTheme="minorHAnsi"/>
        </w:rPr>
        <w:t>advisory</w:t>
      </w:r>
      <w:r w:rsidR="009F455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committee will convene Tuesday, July 23, 2013 to set goals and criteria for pro</w:t>
      </w:r>
      <w:r w:rsidR="00D22E27">
        <w:rPr>
          <w:rFonts w:asciiTheme="minorHAnsi" w:hAnsiTheme="minorHAnsi"/>
        </w:rPr>
        <w:t>posals due later this year</w:t>
      </w:r>
      <w:r>
        <w:rPr>
          <w:rFonts w:asciiTheme="minorHAnsi" w:hAnsiTheme="minorHAnsi"/>
        </w:rPr>
        <w:t xml:space="preserve">. </w:t>
      </w:r>
      <w:r w:rsidR="006A00E5">
        <w:rPr>
          <w:rFonts w:asciiTheme="minorHAnsi" w:hAnsiTheme="minorHAnsi"/>
        </w:rPr>
        <w:t xml:space="preserve">Based on last year’s response, administrators anticipate strong </w:t>
      </w:r>
      <w:r w:rsidR="007D048A">
        <w:rPr>
          <w:rFonts w:asciiTheme="minorHAnsi" w:hAnsiTheme="minorHAnsi"/>
          <w:szCs w:val="24"/>
        </w:rPr>
        <w:t>interest from schools and community partners</w:t>
      </w:r>
      <w:r w:rsidR="006A00E5" w:rsidRPr="00E950CC">
        <w:rPr>
          <w:rFonts w:asciiTheme="minorHAnsi" w:hAnsiTheme="minorHAnsi"/>
          <w:szCs w:val="24"/>
        </w:rPr>
        <w:t xml:space="preserve"> around the state. </w:t>
      </w:r>
    </w:p>
    <w:p w:rsidR="00FE0A8B" w:rsidRPr="00FE0A8B" w:rsidRDefault="00FE0A8B" w:rsidP="00FE0A8B">
      <w:pPr>
        <w:rPr>
          <w:rFonts w:asciiTheme="minorHAnsi" w:hAnsiTheme="minorHAnsi"/>
        </w:rPr>
      </w:pPr>
    </w:p>
    <w:p w:rsidR="00FE0A8B" w:rsidRPr="00FE0A8B" w:rsidRDefault="00FE0A8B" w:rsidP="00FE0A8B">
      <w:pPr>
        <w:rPr>
          <w:rFonts w:asciiTheme="minorHAnsi" w:hAnsiTheme="minorHAnsi"/>
        </w:rPr>
      </w:pPr>
      <w:r w:rsidRPr="00FE0A8B">
        <w:rPr>
          <w:rFonts w:asciiTheme="minorHAnsi" w:hAnsiTheme="minorHAnsi"/>
        </w:rPr>
        <w:t xml:space="preserve">A summary of the </w:t>
      </w:r>
      <w:r w:rsidR="00B4706E">
        <w:rPr>
          <w:rFonts w:asciiTheme="minorHAnsi" w:hAnsiTheme="minorHAnsi"/>
        </w:rPr>
        <w:t xml:space="preserve">previous </w:t>
      </w:r>
      <w:r w:rsidRPr="00FE0A8B">
        <w:rPr>
          <w:rFonts w:asciiTheme="minorHAnsi" w:hAnsiTheme="minorHAnsi"/>
        </w:rPr>
        <w:t xml:space="preserve">grant proposals </w:t>
      </w:r>
      <w:r w:rsidR="00D74F45">
        <w:rPr>
          <w:rFonts w:asciiTheme="minorHAnsi" w:hAnsiTheme="minorHAnsi"/>
        </w:rPr>
        <w:t xml:space="preserve">recipients can be found at </w:t>
      </w:r>
      <w:hyperlink r:id="rId9" w:history="1">
        <w:r w:rsidRPr="00FE0A8B">
          <w:rPr>
            <w:rStyle w:val="Hyperlink"/>
            <w:rFonts w:asciiTheme="minorHAnsi" w:hAnsiTheme="minorHAnsi"/>
          </w:rPr>
          <w:t>www.oregon.gov/BOLI/docs/CTE_Grant_Recipients.pdf</w:t>
        </w:r>
      </w:hyperlink>
      <w:r w:rsidRPr="00FE0A8B">
        <w:rPr>
          <w:rFonts w:asciiTheme="minorHAnsi" w:hAnsiTheme="minorHAnsi"/>
        </w:rPr>
        <w:t xml:space="preserve">. </w:t>
      </w:r>
    </w:p>
    <w:p w:rsidR="00FE0A8B" w:rsidRPr="00FE0A8B" w:rsidRDefault="00FE0A8B" w:rsidP="00FE0A8B">
      <w:pPr>
        <w:rPr>
          <w:rFonts w:asciiTheme="minorHAnsi" w:hAnsiTheme="minorHAnsi"/>
        </w:rPr>
      </w:pPr>
      <w:r w:rsidRPr="00FE0A8B">
        <w:rPr>
          <w:rFonts w:asciiTheme="minorHAnsi" w:hAnsiTheme="minorHAnsi"/>
        </w:rPr>
        <w:t xml:space="preserve"> </w:t>
      </w:r>
    </w:p>
    <w:p w:rsidR="00FE0A8B" w:rsidRPr="00FE0A8B" w:rsidRDefault="002E1B4A" w:rsidP="00FE0A8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###</w:t>
      </w:r>
    </w:p>
    <w:p w:rsidR="00FE0A8B" w:rsidRPr="00104BE2" w:rsidRDefault="00FE0A8B" w:rsidP="006D0104">
      <w:pPr>
        <w:rPr>
          <w:rFonts w:asciiTheme="minorHAnsi" w:hAnsiTheme="minorHAnsi"/>
        </w:rPr>
      </w:pPr>
    </w:p>
    <w:sectPr w:rsidR="00FE0A8B" w:rsidRPr="00104BE2" w:rsidSect="007825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20E"/>
    <w:multiLevelType w:val="hybridMultilevel"/>
    <w:tmpl w:val="F10C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16D4"/>
    <w:multiLevelType w:val="hybridMultilevel"/>
    <w:tmpl w:val="E76C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04"/>
    <w:rsid w:val="00104BE2"/>
    <w:rsid w:val="0011602A"/>
    <w:rsid w:val="00175B18"/>
    <w:rsid w:val="00182657"/>
    <w:rsid w:val="001976AE"/>
    <w:rsid w:val="0029703F"/>
    <w:rsid w:val="002B2DA5"/>
    <w:rsid w:val="002E1B4A"/>
    <w:rsid w:val="00355056"/>
    <w:rsid w:val="00381FA9"/>
    <w:rsid w:val="003A723D"/>
    <w:rsid w:val="00417248"/>
    <w:rsid w:val="0044104B"/>
    <w:rsid w:val="004556B7"/>
    <w:rsid w:val="004B42A3"/>
    <w:rsid w:val="00564EDE"/>
    <w:rsid w:val="005E03C1"/>
    <w:rsid w:val="00666F2D"/>
    <w:rsid w:val="00667308"/>
    <w:rsid w:val="006A00E5"/>
    <w:rsid w:val="006D0104"/>
    <w:rsid w:val="006E2517"/>
    <w:rsid w:val="00711A0D"/>
    <w:rsid w:val="007616D5"/>
    <w:rsid w:val="007825F2"/>
    <w:rsid w:val="007D048A"/>
    <w:rsid w:val="008617A4"/>
    <w:rsid w:val="00892B62"/>
    <w:rsid w:val="008D48E8"/>
    <w:rsid w:val="008F0C3B"/>
    <w:rsid w:val="00917C77"/>
    <w:rsid w:val="00941410"/>
    <w:rsid w:val="009F29AE"/>
    <w:rsid w:val="009F4552"/>
    <w:rsid w:val="00A902A1"/>
    <w:rsid w:val="00AF529D"/>
    <w:rsid w:val="00B33012"/>
    <w:rsid w:val="00B4706E"/>
    <w:rsid w:val="00C2499C"/>
    <w:rsid w:val="00C6354F"/>
    <w:rsid w:val="00CD72AD"/>
    <w:rsid w:val="00CE396B"/>
    <w:rsid w:val="00D22E27"/>
    <w:rsid w:val="00D36F1F"/>
    <w:rsid w:val="00D74F45"/>
    <w:rsid w:val="00DE0282"/>
    <w:rsid w:val="00DF59A2"/>
    <w:rsid w:val="00E950CC"/>
    <w:rsid w:val="00EA12CA"/>
    <w:rsid w:val="00F23949"/>
    <w:rsid w:val="00F531D6"/>
    <w:rsid w:val="00F85651"/>
    <w:rsid w:val="00FB2856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4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E950CC"/>
    <w:pPr>
      <w:spacing w:before="75" w:after="75"/>
      <w:outlineLvl w:val="1"/>
    </w:pPr>
    <w:rPr>
      <w:rFonts w:ascii="Times New Roman" w:eastAsia="Times New Roman" w:hAnsi="Times New Roman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8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rsid w:val="00FE0A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949"/>
    <w:pPr>
      <w:ind w:left="720"/>
    </w:pPr>
    <w:rPr>
      <w:rFonts w:ascii="Times New Roman" w:eastAsiaTheme="minorHAnsi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50CC"/>
    <w:rPr>
      <w:rFonts w:ascii="Times New Roman" w:eastAsia="Times New Roman" w:hAnsi="Times New Roman" w:cs="Times New Roman"/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4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E950CC"/>
    <w:pPr>
      <w:spacing w:before="75" w:after="75"/>
      <w:outlineLvl w:val="1"/>
    </w:pPr>
    <w:rPr>
      <w:rFonts w:ascii="Times New Roman" w:eastAsia="Times New Roman" w:hAnsi="Times New Roman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8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rsid w:val="00FE0A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949"/>
    <w:pPr>
      <w:ind w:left="720"/>
    </w:pPr>
    <w:rPr>
      <w:rFonts w:ascii="Times New Roman" w:eastAsiaTheme="minorHAnsi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50CC"/>
    <w:rPr>
      <w:rFonts w:ascii="Times New Roman" w:eastAsia="Times New Roman" w:hAnsi="Times New Roman" w:cs="Times New Roman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regon.gov/BOLI/docs/CTE_Grant_Recipi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2AB1-E900-46E8-931A-AE29E02F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</dc:creator>
  <cp:lastModifiedBy>THOMPSON Tom</cp:lastModifiedBy>
  <cp:revision>2</cp:revision>
  <cp:lastPrinted>2013-07-17T16:38:00Z</cp:lastPrinted>
  <dcterms:created xsi:type="dcterms:W3CDTF">2013-07-18T16:29:00Z</dcterms:created>
  <dcterms:modified xsi:type="dcterms:W3CDTF">2013-07-18T16:29:00Z</dcterms:modified>
</cp:coreProperties>
</file>