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1" w:rsidRPr="005A2CF4" w:rsidRDefault="00361D1B" w:rsidP="00361D1B">
      <w:pPr>
        <w:pStyle w:val="NoSpacing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984816" wp14:editId="1B122945">
            <wp:simplePos x="0" y="0"/>
            <wp:positionH relativeFrom="column">
              <wp:posOffset>4869815</wp:posOffset>
            </wp:positionH>
            <wp:positionV relativeFrom="paragraph">
              <wp:posOffset>-438150</wp:posOffset>
            </wp:positionV>
            <wp:extent cx="1608455" cy="588010"/>
            <wp:effectExtent l="0" t="0" r="0" b="2540"/>
            <wp:wrapNone/>
            <wp:docPr id="1" name="Picture 1" descr="CTE_Oreg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_Orego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042" w:rsidRPr="005A2CF4">
        <w:rPr>
          <w:b/>
          <w:sz w:val="28"/>
        </w:rPr>
        <w:t>CTE Revitalization Grant Advisory Meeting</w:t>
      </w:r>
      <w:r w:rsidR="00AC206A">
        <w:rPr>
          <w:b/>
          <w:sz w:val="28"/>
        </w:rPr>
        <w:t xml:space="preserve"> Minutes</w:t>
      </w:r>
    </w:p>
    <w:p w:rsidR="00636042" w:rsidRPr="005A2CF4" w:rsidRDefault="00636042" w:rsidP="00361D1B">
      <w:pPr>
        <w:pStyle w:val="NoSpacing"/>
        <w:rPr>
          <w:b/>
          <w:sz w:val="28"/>
        </w:rPr>
      </w:pPr>
      <w:r w:rsidRPr="005A2CF4">
        <w:rPr>
          <w:b/>
          <w:sz w:val="28"/>
        </w:rPr>
        <w:t>July 23, 2013</w:t>
      </w:r>
    </w:p>
    <w:p w:rsidR="00636042" w:rsidRPr="005A2CF4" w:rsidRDefault="00636042" w:rsidP="00361D1B">
      <w:pPr>
        <w:pStyle w:val="NoSpacing"/>
        <w:rPr>
          <w:b/>
          <w:sz w:val="28"/>
        </w:rPr>
      </w:pPr>
      <w:r w:rsidRPr="005A2CF4">
        <w:rPr>
          <w:b/>
          <w:sz w:val="28"/>
        </w:rPr>
        <w:t>Room 350 Capitol Building</w:t>
      </w:r>
    </w:p>
    <w:p w:rsidR="00636042" w:rsidRDefault="00361D1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33A627" wp14:editId="207A1178">
                <wp:simplePos x="0" y="0"/>
                <wp:positionH relativeFrom="column">
                  <wp:posOffset>-54551</wp:posOffset>
                </wp:positionH>
                <wp:positionV relativeFrom="paragraph">
                  <wp:posOffset>146744</wp:posOffset>
                </wp:positionV>
                <wp:extent cx="6405245" cy="73660"/>
                <wp:effectExtent l="0" t="0" r="1460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73660"/>
                          <a:chOff x="633" y="2146"/>
                          <a:chExt cx="10087" cy="116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3pt;margin-top:11.55pt;width:504.35pt;height:5.8pt;z-index:25166131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640;top:2146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byJMEAAADaAAAADwAAAGRycy9kb3ducmV2LnhtbESPT2vCQBDF74V+h2UKvZS6aYU2pK5S&#10;QgVPBbXkPGTHbDQ7m2ZHjd++Kwg9Pt6fH2+2GH2nTjTENrCBl0kGirgOtuXGwM92+ZyDioJssQtM&#10;Bi4UYTG/v5thYcOZ13TaSKPSCMcCDTiRvtA61o48xknoiZO3C4NHSXJotB3wnMZ9p1+z7E17bDkR&#10;HPZUOqoPm6NP3Kp6+v3i7zIvpZL83cl+V4kxjw/j5wcooVH+w7f2yhqYwvVKugF6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vIkwQAAANoAAAAPAAAAAAAAAAAAAAAA&#10;AKECAABkcnMvZG93bnJldi54bWxQSwUGAAAAAAQABAD5AAAAjwMAAAAA&#10;" strokecolor="#7ab800" strokeweight="1.5pt"/>
                <v:shape id="AutoShape 5" o:spid="_x0000_s1028" type="#_x0000_t32" style="position:absolute;left:633;top:2204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1Br0AAADaAAAADwAAAGRycy9kb3ducmV2LnhtbESPSwvCMBCE74L/IazgTVMfiFSjiCJ4&#10;9XHocWnWtrTZlCa29d8bQfA4zMw3zHbfm0q01LjCsoLZNAJBnFpdcKbgcT9P1iCcR9ZYWSYFb3Kw&#10;3w0HW4y17fhK7c1nIkDYxagg976OpXRpTgbd1NbEwXvaxqAPssmkbrALcFPJeRStpMGCw0KONR1z&#10;Ssvbyyg46qRd88s8Tu1iVhbnLjNlclBqPOoPGxCeev8P/9oXrWAJ3yvhBsjd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R2dQa9AAAA2gAAAA8AAAAAAAAAAAAAAAAAoQIA&#10;AGRycy9kb3ducmV2LnhtbFBLBQYAAAAABAAEAPkAAACLAwAAAAA=&#10;" strokecolor="#ff6d14" strokeweight="3pt"/>
                <v:shape id="AutoShape 6" o:spid="_x0000_s1029" type="#_x0000_t32" style="position:absolute;left:639;top:2262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zhsIAAADaAAAADwAAAGRycy9kb3ducmV2LnhtbESPW4vCMBSE3xf8D+EIvq2pi+ulaxQv&#10;LKhvXn7AoTnbVpuTbhK1/nsjCD4OM/MNM5k1phJXcr60rKDXTUAQZ1aXnCs4Hn4/RyB8QNZYWSYF&#10;d/Iwm7Y+Jphqe+MdXfchFxHCPkUFRQh1KqXPCjLou7Ymjt6fdQZDlC6X2uEtwk0lv5JkIA2WHBcK&#10;rGlZUHbeX4yCoVltePmP27zvghn2T7vxaL1QqtNu5j8gAjXhHX6111rBNzyvxBs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AzhsIAAADaAAAADwAAAAAAAAAAAAAA&#10;AAChAgAAZHJzL2Rvd25yZXYueG1sUEsFBgAAAAAEAAQA+QAAAJADAAAAAA==&#10;" strokecolor="#009aa6" strokeweight="1.5pt"/>
              </v:group>
            </w:pict>
          </mc:Fallback>
        </mc:AlternateContent>
      </w:r>
    </w:p>
    <w:p w:rsidR="00636042" w:rsidRPr="005A2CF4" w:rsidRDefault="00636042">
      <w:pPr>
        <w:rPr>
          <w:b/>
        </w:rPr>
      </w:pPr>
      <w:r w:rsidRPr="005A2CF4">
        <w:rPr>
          <w:b/>
        </w:rPr>
        <w:t>Members Present</w:t>
      </w:r>
    </w:p>
    <w:p w:rsidR="00636042" w:rsidRDefault="00636042" w:rsidP="005A2CF4">
      <w:pPr>
        <w:pStyle w:val="NoSpacing"/>
      </w:pPr>
      <w:r>
        <w:t>Brian Krieg – Co-Chair</w:t>
      </w:r>
      <w:r w:rsidR="005A2CF4">
        <w:t xml:space="preserve"> – Sheet Metal Contractors Association</w:t>
      </w:r>
    </w:p>
    <w:p w:rsidR="00636042" w:rsidRDefault="00636042" w:rsidP="005A2CF4">
      <w:pPr>
        <w:pStyle w:val="NoSpacing"/>
      </w:pPr>
      <w:r>
        <w:t xml:space="preserve">John </w:t>
      </w:r>
      <w:proofErr w:type="spellStart"/>
      <w:r>
        <w:t>Steach</w:t>
      </w:r>
      <w:proofErr w:type="spellEnd"/>
      <w:r>
        <w:t xml:space="preserve"> – Co-Chair</w:t>
      </w:r>
      <w:r w:rsidR="005A2CF4">
        <w:t xml:space="preserve"> – Canby School District</w:t>
      </w:r>
    </w:p>
    <w:p w:rsidR="005A2CF4" w:rsidRDefault="00636042" w:rsidP="005A2CF4">
      <w:pPr>
        <w:pStyle w:val="NoSpacing"/>
      </w:pPr>
      <w:r>
        <w:t>Andrew Beyer</w:t>
      </w:r>
      <w:r w:rsidR="005A2CF4">
        <w:t xml:space="preserve"> – Lease, </w:t>
      </w:r>
      <w:proofErr w:type="spellStart"/>
      <w:r w:rsidR="005A2CF4">
        <w:t>Crutcher</w:t>
      </w:r>
      <w:proofErr w:type="spellEnd"/>
      <w:r w:rsidR="005A2CF4">
        <w:t>, Lewis</w:t>
      </w:r>
    </w:p>
    <w:p w:rsidR="00636042" w:rsidRDefault="00636042" w:rsidP="005A2CF4">
      <w:pPr>
        <w:pStyle w:val="NoSpacing"/>
      </w:pPr>
      <w:r>
        <w:t>Jon Chandler</w:t>
      </w:r>
      <w:r w:rsidR="005A2CF4">
        <w:t xml:space="preserve"> – Oregon Homebuilders Association</w:t>
      </w:r>
    </w:p>
    <w:p w:rsidR="00636042" w:rsidRDefault="00636042" w:rsidP="005A2CF4">
      <w:pPr>
        <w:pStyle w:val="NoSpacing"/>
      </w:pPr>
      <w:r>
        <w:t>Dirk Dirksen</w:t>
      </w:r>
      <w:r w:rsidR="005A2CF4">
        <w:t xml:space="preserve"> – Morrow County School District</w:t>
      </w:r>
    </w:p>
    <w:p w:rsidR="00636042" w:rsidRDefault="00636042" w:rsidP="005A2CF4">
      <w:pPr>
        <w:pStyle w:val="NoSpacing"/>
      </w:pPr>
      <w:r>
        <w:t>Dan Findley</w:t>
      </w:r>
      <w:r w:rsidR="005A2CF4">
        <w:t xml:space="preserve"> – Portland Community College</w:t>
      </w:r>
    </w:p>
    <w:p w:rsidR="00636042" w:rsidRDefault="00636042" w:rsidP="005A2CF4">
      <w:pPr>
        <w:pStyle w:val="NoSpacing"/>
      </w:pPr>
      <w:r>
        <w:t xml:space="preserve">Cheri </w:t>
      </w:r>
      <w:proofErr w:type="spellStart"/>
      <w:r>
        <w:t>Helt</w:t>
      </w:r>
      <w:proofErr w:type="spellEnd"/>
      <w:r w:rsidR="005A2CF4">
        <w:t xml:space="preserve"> – Bend-</w:t>
      </w:r>
      <w:proofErr w:type="spellStart"/>
      <w:r w:rsidR="005A2CF4">
        <w:t>LaPine</w:t>
      </w:r>
      <w:proofErr w:type="spellEnd"/>
      <w:r w:rsidR="005A2CF4">
        <w:t xml:space="preserve"> School District</w:t>
      </w:r>
    </w:p>
    <w:p w:rsidR="00636042" w:rsidRDefault="00636042" w:rsidP="005A2CF4">
      <w:pPr>
        <w:pStyle w:val="NoSpacing"/>
      </w:pPr>
      <w:r>
        <w:t xml:space="preserve">Jim </w:t>
      </w:r>
      <w:proofErr w:type="spellStart"/>
      <w:r>
        <w:t>Mabbott</w:t>
      </w:r>
      <w:proofErr w:type="spellEnd"/>
      <w:r w:rsidR="005A2CF4">
        <w:t xml:space="preserve"> – Oregon Association of Education Service Districts</w:t>
      </w:r>
    </w:p>
    <w:p w:rsidR="00636042" w:rsidRDefault="00636042" w:rsidP="005A2CF4">
      <w:pPr>
        <w:pStyle w:val="NoSpacing"/>
      </w:pPr>
      <w:r>
        <w:t>John Morris</w:t>
      </w:r>
      <w:r w:rsidR="005A2CF4">
        <w:t xml:space="preserve"> – Fluid Market Strategies</w:t>
      </w:r>
    </w:p>
    <w:p w:rsidR="00636042" w:rsidRDefault="00636042" w:rsidP="005A2CF4">
      <w:pPr>
        <w:pStyle w:val="NoSpacing"/>
      </w:pPr>
      <w:r>
        <w:t>Salam Noor</w:t>
      </w:r>
      <w:r w:rsidR="005A2CF4">
        <w:t xml:space="preserve"> – Salem-Keizer School District</w:t>
      </w:r>
    </w:p>
    <w:p w:rsidR="00636042" w:rsidRDefault="00636042" w:rsidP="005A2CF4">
      <w:pPr>
        <w:pStyle w:val="NoSpacing"/>
      </w:pPr>
      <w:r>
        <w:t>Joe Nunn</w:t>
      </w:r>
      <w:r w:rsidR="005A2CF4">
        <w:t xml:space="preserve"> – </w:t>
      </w:r>
      <w:proofErr w:type="spellStart"/>
      <w:r w:rsidR="005A2CF4">
        <w:t>JJ</w:t>
      </w:r>
      <w:proofErr w:type="spellEnd"/>
      <w:r w:rsidR="005A2CF4">
        <w:t xml:space="preserve"> Nunn and Associates</w:t>
      </w:r>
    </w:p>
    <w:p w:rsidR="00636042" w:rsidRDefault="00636042" w:rsidP="005A2CF4">
      <w:pPr>
        <w:pStyle w:val="NoSpacing"/>
      </w:pPr>
      <w:r>
        <w:t xml:space="preserve">Lori </w:t>
      </w:r>
      <w:proofErr w:type="spellStart"/>
      <w:r>
        <w:t>Pankratz</w:t>
      </w:r>
      <w:proofErr w:type="spellEnd"/>
      <w:r w:rsidR="005A2CF4">
        <w:t xml:space="preserve"> – Oregon CTE Student Leadership Foundation</w:t>
      </w:r>
    </w:p>
    <w:p w:rsidR="00636042" w:rsidRDefault="00636042" w:rsidP="005A2CF4">
      <w:pPr>
        <w:pStyle w:val="NoSpacing"/>
      </w:pPr>
      <w:r>
        <w:t xml:space="preserve">Dave </w:t>
      </w:r>
      <w:proofErr w:type="spellStart"/>
      <w:r>
        <w:t>Vernier</w:t>
      </w:r>
      <w:proofErr w:type="spellEnd"/>
      <w:r w:rsidR="00AC206A">
        <w:t xml:space="preserve"> – </w:t>
      </w:r>
      <w:proofErr w:type="spellStart"/>
      <w:r w:rsidR="00AC206A">
        <w:t>Vernier</w:t>
      </w:r>
      <w:proofErr w:type="spellEnd"/>
      <w:r w:rsidR="00AC206A">
        <w:t xml:space="preserve"> Software &amp; Technology</w:t>
      </w:r>
    </w:p>
    <w:p w:rsidR="00636042" w:rsidRDefault="00636042" w:rsidP="005A2CF4">
      <w:pPr>
        <w:pStyle w:val="NoSpacing"/>
      </w:pPr>
      <w:r>
        <w:t>Judith Woodruff</w:t>
      </w:r>
      <w:r w:rsidR="005A2CF4">
        <w:t xml:space="preserve"> – Independent Consultant</w:t>
      </w:r>
    </w:p>
    <w:p w:rsidR="005A2CF4" w:rsidRDefault="005A2CF4" w:rsidP="005A2CF4">
      <w:pPr>
        <w:pStyle w:val="NoSpacing"/>
      </w:pPr>
    </w:p>
    <w:p w:rsidR="005A2CF4" w:rsidRPr="005A2CF4" w:rsidRDefault="005A2CF4">
      <w:pPr>
        <w:rPr>
          <w:b/>
        </w:rPr>
      </w:pPr>
      <w:r w:rsidRPr="005A2CF4">
        <w:rPr>
          <w:b/>
        </w:rPr>
        <w:t>Members Not Present</w:t>
      </w:r>
    </w:p>
    <w:p w:rsidR="005A2CF4" w:rsidRDefault="005A2CF4" w:rsidP="005A2CF4">
      <w:pPr>
        <w:pStyle w:val="NoSpacing"/>
      </w:pPr>
      <w:r>
        <w:t>Sherry Cole – CTE Regional Coordinator – Baker, Union, Grant, Wallowa Counties</w:t>
      </w:r>
    </w:p>
    <w:p w:rsidR="005A2CF4" w:rsidRDefault="005A2CF4" w:rsidP="005A2CF4">
      <w:pPr>
        <w:pStyle w:val="NoSpacing"/>
      </w:pPr>
      <w:r>
        <w:t xml:space="preserve">John </w:t>
      </w:r>
      <w:proofErr w:type="spellStart"/>
      <w:r>
        <w:t>Mohlis</w:t>
      </w:r>
      <w:proofErr w:type="spellEnd"/>
      <w:r>
        <w:t xml:space="preserve"> – Oregon State Building and Construction Trades Council</w:t>
      </w:r>
    </w:p>
    <w:p w:rsidR="00DD3D88" w:rsidRDefault="00DD3D88" w:rsidP="005A2CF4">
      <w:pPr>
        <w:pStyle w:val="NoSpacing"/>
      </w:pPr>
      <w:r>
        <w:t xml:space="preserve">Marci </w:t>
      </w:r>
      <w:proofErr w:type="spellStart"/>
      <w:r>
        <w:t>Wichman</w:t>
      </w:r>
      <w:proofErr w:type="spellEnd"/>
      <w:r>
        <w:t xml:space="preserve"> – Local 290 Plumbers Union Training Director</w:t>
      </w:r>
    </w:p>
    <w:p w:rsidR="005A2CF4" w:rsidRDefault="005A2CF4" w:rsidP="005A2CF4">
      <w:pPr>
        <w:pStyle w:val="NoSpacing"/>
      </w:pPr>
    </w:p>
    <w:p w:rsidR="00636042" w:rsidRPr="005A2CF4" w:rsidRDefault="00636042">
      <w:pPr>
        <w:rPr>
          <w:b/>
        </w:rPr>
      </w:pPr>
      <w:r w:rsidRPr="005A2CF4">
        <w:rPr>
          <w:b/>
        </w:rPr>
        <w:t>Others Present</w:t>
      </w:r>
    </w:p>
    <w:p w:rsidR="0037341E" w:rsidRDefault="0037341E" w:rsidP="0037341E">
      <w:pPr>
        <w:pStyle w:val="NoSpacing"/>
      </w:pPr>
      <w:r>
        <w:t xml:space="preserve">Representative Michael </w:t>
      </w:r>
      <w:proofErr w:type="spellStart"/>
      <w:r>
        <w:t>Dembrow</w:t>
      </w:r>
      <w:proofErr w:type="spellEnd"/>
      <w:r>
        <w:t xml:space="preserve"> – Oregon House of Representatives (D)</w:t>
      </w:r>
    </w:p>
    <w:p w:rsidR="0037341E" w:rsidRDefault="0037341E" w:rsidP="0037341E">
      <w:pPr>
        <w:pStyle w:val="NoSpacing"/>
      </w:pPr>
      <w:r>
        <w:t>Representative Jeff Reardon – Oregon House of Representatives (D)</w:t>
      </w:r>
    </w:p>
    <w:p w:rsidR="0037341E" w:rsidRDefault="0037341E" w:rsidP="0037341E">
      <w:pPr>
        <w:pStyle w:val="NoSpacing"/>
      </w:pPr>
      <w:r>
        <w:t xml:space="preserve">Anne </w:t>
      </w:r>
      <w:proofErr w:type="spellStart"/>
      <w:r w:rsidR="00CE52F5">
        <w:t>Buzzini</w:t>
      </w:r>
      <w:proofErr w:type="spellEnd"/>
      <w:r w:rsidR="00CE52F5">
        <w:t xml:space="preserve"> – Legislative Aide (J Reardon)</w:t>
      </w:r>
    </w:p>
    <w:p w:rsidR="00DC11A1" w:rsidRDefault="00DC11A1" w:rsidP="0037341E">
      <w:pPr>
        <w:pStyle w:val="NoSpacing"/>
      </w:pPr>
      <w:r>
        <w:t>Jim Carlisle – ODE</w:t>
      </w:r>
    </w:p>
    <w:p w:rsidR="00DC11A1" w:rsidRDefault="00DC11A1" w:rsidP="0037341E">
      <w:pPr>
        <w:pStyle w:val="NoSpacing"/>
      </w:pPr>
      <w:r>
        <w:t>Laura Roach – ODE</w:t>
      </w:r>
    </w:p>
    <w:p w:rsidR="00DC11A1" w:rsidRDefault="00DC11A1" w:rsidP="0037341E">
      <w:pPr>
        <w:pStyle w:val="NoSpacing"/>
      </w:pPr>
      <w:r>
        <w:t xml:space="preserve">Donna Brant – </w:t>
      </w:r>
      <w:r w:rsidR="0037341E">
        <w:t>ODE</w:t>
      </w:r>
    </w:p>
    <w:p w:rsidR="00DC11A1" w:rsidRDefault="0037341E" w:rsidP="0037341E">
      <w:pPr>
        <w:pStyle w:val="NoSpacing"/>
      </w:pPr>
      <w:r>
        <w:t xml:space="preserve">Michael Fridley </w:t>
      </w:r>
      <w:r w:rsidR="00DC11A1">
        <w:t>–</w:t>
      </w:r>
      <w:r>
        <w:t xml:space="preserve"> ODE</w:t>
      </w:r>
    </w:p>
    <w:p w:rsidR="00DC11A1" w:rsidRDefault="0037341E" w:rsidP="0037341E">
      <w:pPr>
        <w:pStyle w:val="NoSpacing"/>
      </w:pPr>
      <w:r>
        <w:t xml:space="preserve">Tom Thompson </w:t>
      </w:r>
      <w:r w:rsidR="00DC11A1">
        <w:t>–</w:t>
      </w:r>
      <w:r>
        <w:t xml:space="preserve"> ODE</w:t>
      </w:r>
    </w:p>
    <w:p w:rsidR="00DC11A1" w:rsidRDefault="00636042" w:rsidP="005A2CF4">
      <w:pPr>
        <w:pStyle w:val="NoSpacing"/>
      </w:pPr>
      <w:r>
        <w:t xml:space="preserve">Shalee </w:t>
      </w:r>
      <w:r w:rsidR="00DC11A1">
        <w:t>Hodgson – CCWD</w:t>
      </w:r>
    </w:p>
    <w:p w:rsidR="00DC11A1" w:rsidRDefault="00636042" w:rsidP="005A2CF4">
      <w:pPr>
        <w:pStyle w:val="NoSpacing"/>
      </w:pPr>
      <w:r>
        <w:t>Steve Simms</w:t>
      </w:r>
      <w:r w:rsidR="005A2CF4">
        <w:t xml:space="preserve"> </w:t>
      </w:r>
      <w:r w:rsidR="00DC11A1">
        <w:t>–</w:t>
      </w:r>
      <w:r w:rsidR="005A2CF4">
        <w:t xml:space="preserve"> BOLI</w:t>
      </w:r>
    </w:p>
    <w:p w:rsidR="006C0AB1" w:rsidRDefault="006C0AB1" w:rsidP="005A2CF4">
      <w:pPr>
        <w:pStyle w:val="NoSpacing"/>
        <w:sectPr w:rsidR="006C0AB1" w:rsidSect="006C0AB1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537AD" w:rsidRDefault="00C537AD" w:rsidP="005A2CF4">
      <w:pPr>
        <w:pStyle w:val="NoSpacing"/>
      </w:pPr>
    </w:p>
    <w:p w:rsidR="00C537AD" w:rsidRPr="00097720" w:rsidRDefault="00C537AD" w:rsidP="005A2CF4">
      <w:pPr>
        <w:pStyle w:val="NoSpacing"/>
        <w:rPr>
          <w:b/>
          <w:sz w:val="28"/>
          <w:szCs w:val="28"/>
        </w:rPr>
      </w:pPr>
      <w:r w:rsidRPr="00097720">
        <w:rPr>
          <w:b/>
          <w:sz w:val="28"/>
          <w:szCs w:val="28"/>
        </w:rPr>
        <w:t>Welcome and Introduction</w:t>
      </w:r>
    </w:p>
    <w:p w:rsidR="00DC11A1" w:rsidRPr="0091190C" w:rsidRDefault="00DC11A1" w:rsidP="005A2CF4">
      <w:pPr>
        <w:pStyle w:val="NoSpacing"/>
        <w:rPr>
          <w:b/>
        </w:rPr>
      </w:pPr>
    </w:p>
    <w:p w:rsidR="00C537AD" w:rsidRDefault="00AC206A" w:rsidP="00DC11A1">
      <w:pPr>
        <w:pStyle w:val="NoSpacing"/>
        <w:numPr>
          <w:ilvl w:val="0"/>
          <w:numId w:val="12"/>
        </w:numPr>
      </w:pPr>
      <w:r>
        <w:t>Co-Chairs o</w:t>
      </w:r>
      <w:r w:rsidR="00C537AD">
        <w:t>utlined the purpose of the meeting</w:t>
      </w:r>
      <w:r w:rsidR="00097720">
        <w:t>.</w:t>
      </w:r>
    </w:p>
    <w:p w:rsidR="006C0AB1" w:rsidRDefault="00C537AD" w:rsidP="00DC11A1">
      <w:pPr>
        <w:pStyle w:val="NoSpacing"/>
        <w:numPr>
          <w:ilvl w:val="0"/>
          <w:numId w:val="12"/>
        </w:numPr>
      </w:pPr>
      <w:r>
        <w:t xml:space="preserve">John </w:t>
      </w:r>
      <w:proofErr w:type="spellStart"/>
      <w:r>
        <w:t>Steach</w:t>
      </w:r>
      <w:proofErr w:type="spellEnd"/>
      <w:r>
        <w:t xml:space="preserve"> shared a </w:t>
      </w:r>
      <w:hyperlink r:id="rId11" w:history="1">
        <w:r w:rsidRPr="0091190C">
          <w:rPr>
            <w:rStyle w:val="Hyperlink"/>
          </w:rPr>
          <w:t>video</w:t>
        </w:r>
      </w:hyperlink>
      <w:r>
        <w:t xml:space="preserve"> about CTE at Canby High School</w:t>
      </w:r>
      <w:r w:rsidR="006C0AB1">
        <w:t>.</w:t>
      </w:r>
    </w:p>
    <w:p w:rsidR="0091190C" w:rsidRDefault="0091190C" w:rsidP="00DC11A1">
      <w:pPr>
        <w:pStyle w:val="NoSpacing"/>
        <w:numPr>
          <w:ilvl w:val="0"/>
          <w:numId w:val="12"/>
        </w:numPr>
      </w:pPr>
      <w:r>
        <w:t>Career and Technical Education in Oregon and CTE Revitalization Grant</w:t>
      </w:r>
      <w:r w:rsidR="00DC11A1">
        <w:t xml:space="preserve"> </w:t>
      </w:r>
      <w:hyperlink r:id="rId12" w:history="1">
        <w:r w:rsidRPr="00DD3D88">
          <w:rPr>
            <w:rStyle w:val="Hyperlink"/>
          </w:rPr>
          <w:t>Presentation</w:t>
        </w:r>
      </w:hyperlink>
      <w:r w:rsidR="00DD3D88">
        <w:t xml:space="preserve"> from ODE staff.</w:t>
      </w:r>
    </w:p>
    <w:p w:rsidR="00DC11A1" w:rsidRPr="00CE2EE8" w:rsidRDefault="00DC11A1" w:rsidP="005A2CF4">
      <w:pPr>
        <w:pStyle w:val="NoSpacing"/>
      </w:pPr>
    </w:p>
    <w:p w:rsidR="0091190C" w:rsidRPr="00097720" w:rsidRDefault="0091190C" w:rsidP="005A2CF4">
      <w:pPr>
        <w:pStyle w:val="NoSpacing"/>
        <w:rPr>
          <w:b/>
          <w:sz w:val="28"/>
          <w:szCs w:val="28"/>
        </w:rPr>
      </w:pPr>
      <w:r w:rsidRPr="00097720">
        <w:rPr>
          <w:b/>
          <w:sz w:val="28"/>
          <w:szCs w:val="28"/>
        </w:rPr>
        <w:t>The Vision for the Grant Proposals</w:t>
      </w:r>
    </w:p>
    <w:p w:rsidR="00F223C1" w:rsidRDefault="00F223C1" w:rsidP="005A2CF4">
      <w:pPr>
        <w:pStyle w:val="NoSpacing"/>
        <w:rPr>
          <w:b/>
        </w:rPr>
      </w:pPr>
    </w:p>
    <w:p w:rsidR="00F223C1" w:rsidRPr="00F223C1" w:rsidRDefault="00F223C1" w:rsidP="005A2CF4">
      <w:pPr>
        <w:pStyle w:val="NoSpacing"/>
      </w:pPr>
      <w:r>
        <w:t>The following is a summary of the decisions made by the CTE Revitalization Grant Advisory Committee regarding the goals, content, and process of the grant program for the 2013 – 2015 biennium.</w:t>
      </w:r>
    </w:p>
    <w:p w:rsidR="00EB169C" w:rsidRDefault="00EB169C" w:rsidP="005A2CF4">
      <w:pPr>
        <w:pStyle w:val="NoSpacing"/>
        <w:rPr>
          <w:b/>
        </w:rPr>
      </w:pPr>
    </w:p>
    <w:p w:rsidR="00F223C1" w:rsidRPr="00EB169C" w:rsidRDefault="00F223C1" w:rsidP="005A2CF4">
      <w:pPr>
        <w:pStyle w:val="NoSpacing"/>
      </w:pPr>
      <w:r>
        <w:t>The CTE Revitalization Grant should support projects that:</w:t>
      </w:r>
    </w:p>
    <w:p w:rsidR="0091190C" w:rsidRPr="00EB169C" w:rsidRDefault="0091190C" w:rsidP="005A2CF4">
      <w:pPr>
        <w:pStyle w:val="NoSpacing"/>
      </w:pPr>
    </w:p>
    <w:p w:rsidR="00E33127" w:rsidRPr="00E33127" w:rsidRDefault="00E33127" w:rsidP="00E33127">
      <w:pPr>
        <w:pStyle w:val="NoSpacing"/>
        <w:numPr>
          <w:ilvl w:val="0"/>
          <w:numId w:val="1"/>
        </w:numPr>
      </w:pPr>
      <w:r w:rsidRPr="00E33127">
        <w:t xml:space="preserve">Provide students with </w:t>
      </w:r>
      <w:r w:rsidRPr="00E33127">
        <w:rPr>
          <w:b/>
        </w:rPr>
        <w:t>experiential learning</w:t>
      </w:r>
      <w:r w:rsidRPr="00E33127">
        <w:t xml:space="preserve"> opportunities.</w:t>
      </w:r>
    </w:p>
    <w:p w:rsidR="00E33127" w:rsidRPr="00E33127" w:rsidRDefault="00E33127" w:rsidP="00E33127">
      <w:pPr>
        <w:pStyle w:val="NoSpacing"/>
        <w:numPr>
          <w:ilvl w:val="0"/>
          <w:numId w:val="1"/>
        </w:numPr>
      </w:pPr>
      <w:r w:rsidRPr="00E33127">
        <w:t xml:space="preserve">Show the </w:t>
      </w:r>
      <w:r w:rsidRPr="00E33127">
        <w:rPr>
          <w:b/>
        </w:rPr>
        <w:t>integration</w:t>
      </w:r>
      <w:r w:rsidRPr="00E33127">
        <w:t xml:space="preserve"> of the separate components of the proposal into a coherent project including the integration of core academic content and community resources.</w:t>
      </w:r>
    </w:p>
    <w:p w:rsidR="00E33127" w:rsidRPr="00E33127" w:rsidRDefault="00E33127" w:rsidP="00E33127">
      <w:pPr>
        <w:pStyle w:val="NoSpacing"/>
        <w:numPr>
          <w:ilvl w:val="0"/>
          <w:numId w:val="1"/>
        </w:numPr>
      </w:pPr>
      <w:r w:rsidRPr="00E33127">
        <w:t xml:space="preserve">Demonstrate </w:t>
      </w:r>
      <w:r w:rsidRPr="00E33127">
        <w:rPr>
          <w:b/>
        </w:rPr>
        <w:t>innovation</w:t>
      </w:r>
      <w:r w:rsidRPr="00E33127">
        <w:t xml:space="preserve"> in delivery of CTE.</w:t>
      </w:r>
    </w:p>
    <w:p w:rsidR="00E33127" w:rsidRPr="00E33127" w:rsidRDefault="00E33127" w:rsidP="00E33127">
      <w:pPr>
        <w:pStyle w:val="NoSpacing"/>
        <w:numPr>
          <w:ilvl w:val="0"/>
          <w:numId w:val="1"/>
        </w:numPr>
      </w:pPr>
      <w:r w:rsidRPr="00E33127">
        <w:t xml:space="preserve">Support </w:t>
      </w:r>
      <w:r w:rsidRPr="00E33127">
        <w:rPr>
          <w:b/>
        </w:rPr>
        <w:t>expansion and growth</w:t>
      </w:r>
      <w:r w:rsidRPr="00E33127">
        <w:t xml:space="preserve"> of CTE.</w:t>
      </w:r>
    </w:p>
    <w:p w:rsidR="0091190C" w:rsidRDefault="0091190C" w:rsidP="005A2CF4">
      <w:pPr>
        <w:pStyle w:val="NoSpacing"/>
      </w:pPr>
    </w:p>
    <w:p w:rsidR="00EB169C" w:rsidRPr="00ED2753" w:rsidRDefault="00854810" w:rsidP="005A2CF4">
      <w:pPr>
        <w:pStyle w:val="NoSpacing"/>
        <w:rPr>
          <w:b/>
          <w:sz w:val="28"/>
        </w:rPr>
      </w:pPr>
      <w:r w:rsidRPr="00ED2753">
        <w:rPr>
          <w:b/>
          <w:sz w:val="28"/>
        </w:rPr>
        <w:t>Recommended c</w:t>
      </w:r>
      <w:r w:rsidR="00EB169C" w:rsidRPr="00ED2753">
        <w:rPr>
          <w:b/>
          <w:sz w:val="28"/>
        </w:rPr>
        <w:t>hanges to required components of the RFP</w:t>
      </w:r>
    </w:p>
    <w:p w:rsidR="00EB169C" w:rsidRDefault="00EB169C" w:rsidP="005A2CF4">
      <w:pPr>
        <w:pStyle w:val="NoSpacing"/>
      </w:pPr>
    </w:p>
    <w:p w:rsidR="00EB169C" w:rsidRDefault="00EB169C" w:rsidP="007F0E0C">
      <w:pPr>
        <w:pStyle w:val="NoSpacing"/>
        <w:numPr>
          <w:ilvl w:val="0"/>
          <w:numId w:val="2"/>
        </w:numPr>
      </w:pPr>
      <w:r>
        <w:t>Incorporate the concept of pathways into the CTE program of study requirement</w:t>
      </w:r>
      <w:r w:rsidR="00097720">
        <w:t>.</w:t>
      </w:r>
    </w:p>
    <w:p w:rsidR="00EB169C" w:rsidRDefault="00EB169C" w:rsidP="007F0E0C">
      <w:pPr>
        <w:pStyle w:val="NoSpacing"/>
        <w:numPr>
          <w:ilvl w:val="0"/>
          <w:numId w:val="2"/>
        </w:numPr>
      </w:pPr>
      <w:r>
        <w:t>Include replication of project as a part of innovation</w:t>
      </w:r>
      <w:r w:rsidR="00097720">
        <w:t>.</w:t>
      </w:r>
    </w:p>
    <w:p w:rsidR="00EB169C" w:rsidRDefault="00854810" w:rsidP="007F0E0C">
      <w:pPr>
        <w:pStyle w:val="NoSpacing"/>
        <w:numPr>
          <w:ilvl w:val="0"/>
          <w:numId w:val="2"/>
        </w:numPr>
      </w:pPr>
      <w:r>
        <w:t xml:space="preserve">Add support to </w:t>
      </w:r>
      <w:r w:rsidR="00EB169C">
        <w:t xml:space="preserve">underserved populations as </w:t>
      </w:r>
      <w:r>
        <w:t xml:space="preserve">a </w:t>
      </w:r>
      <w:r w:rsidR="00EB169C">
        <w:t>required</w:t>
      </w:r>
      <w:r>
        <w:t xml:space="preserve"> element</w:t>
      </w:r>
      <w:r w:rsidR="00EB169C">
        <w:t xml:space="preserve">.  </w:t>
      </w:r>
      <w:r>
        <w:t>The Committee recommended a broad definition of u</w:t>
      </w:r>
      <w:r w:rsidR="00EB169C">
        <w:t xml:space="preserve">nderserved populations </w:t>
      </w:r>
      <w:r>
        <w:t xml:space="preserve">which </w:t>
      </w:r>
      <w:r w:rsidR="00EB169C">
        <w:t xml:space="preserve">may include </w:t>
      </w:r>
      <w:r w:rsidR="007F0E0C">
        <w:t>E</w:t>
      </w:r>
      <w:r>
        <w:t>nglish Language Learners (E</w:t>
      </w:r>
      <w:r w:rsidR="007F0E0C">
        <w:t>LL</w:t>
      </w:r>
      <w:r>
        <w:t>), students with disabilities</w:t>
      </w:r>
      <w:r w:rsidR="007F0E0C">
        <w:t>, racial and ethnic minorities, students in non-traditional occupations</w:t>
      </w:r>
      <w:r w:rsidR="00B76F82">
        <w:t xml:space="preserve"> by gender</w:t>
      </w:r>
      <w:r w:rsidR="007F0E0C">
        <w:t>, economically disadvantaged</w:t>
      </w:r>
      <w:r>
        <w:t xml:space="preserve"> students</w:t>
      </w:r>
      <w:r w:rsidR="007F0E0C">
        <w:t>,</w:t>
      </w:r>
      <w:r w:rsidR="00B76F82">
        <w:t xml:space="preserve"> first generation college going students</w:t>
      </w:r>
      <w:proofErr w:type="gramStart"/>
      <w:r w:rsidR="00B76F82">
        <w:t xml:space="preserve">, </w:t>
      </w:r>
      <w:r w:rsidR="007F0E0C">
        <w:t xml:space="preserve"> etc</w:t>
      </w:r>
      <w:proofErr w:type="gramEnd"/>
      <w:r w:rsidR="007F0E0C">
        <w:t>.</w:t>
      </w:r>
      <w:r>
        <w:t xml:space="preserve">  </w:t>
      </w:r>
    </w:p>
    <w:p w:rsidR="007F0E0C" w:rsidRDefault="007F0E0C" w:rsidP="007F0E0C">
      <w:pPr>
        <w:pStyle w:val="NoSpacing"/>
        <w:numPr>
          <w:ilvl w:val="0"/>
          <w:numId w:val="2"/>
        </w:numPr>
      </w:pPr>
      <w:r>
        <w:t xml:space="preserve">Broaden </w:t>
      </w:r>
      <w:r w:rsidR="00854810">
        <w:t xml:space="preserve">the concept of </w:t>
      </w:r>
      <w:r>
        <w:t xml:space="preserve">sustainability to include sustainability of partnerships as well </w:t>
      </w:r>
      <w:r w:rsidR="00854810">
        <w:t xml:space="preserve">as </w:t>
      </w:r>
      <w:r>
        <w:t>financial sustainability.</w:t>
      </w:r>
    </w:p>
    <w:p w:rsidR="006C0AB1" w:rsidRDefault="006C0AB1">
      <w:r>
        <w:br w:type="page"/>
      </w:r>
    </w:p>
    <w:p w:rsidR="00EB169C" w:rsidRDefault="00EB169C" w:rsidP="005A2CF4">
      <w:pPr>
        <w:pStyle w:val="NoSpacing"/>
      </w:pPr>
    </w:p>
    <w:p w:rsidR="00EB169C" w:rsidRPr="00ED2753" w:rsidRDefault="00854810" w:rsidP="005A2CF4">
      <w:pPr>
        <w:pStyle w:val="NoSpacing"/>
        <w:rPr>
          <w:b/>
          <w:sz w:val="28"/>
        </w:rPr>
      </w:pPr>
      <w:r w:rsidRPr="00ED2753">
        <w:rPr>
          <w:b/>
          <w:sz w:val="28"/>
        </w:rPr>
        <w:t>Recommended changes</w:t>
      </w:r>
      <w:r w:rsidR="007F0E0C" w:rsidRPr="00ED2753">
        <w:rPr>
          <w:b/>
          <w:sz w:val="28"/>
        </w:rPr>
        <w:t xml:space="preserve"> </w:t>
      </w:r>
      <w:r w:rsidRPr="00ED2753">
        <w:rPr>
          <w:b/>
          <w:sz w:val="28"/>
        </w:rPr>
        <w:t xml:space="preserve">to the </w:t>
      </w:r>
      <w:r w:rsidR="007F0E0C" w:rsidRPr="00ED2753">
        <w:rPr>
          <w:b/>
          <w:sz w:val="28"/>
        </w:rPr>
        <w:t>bonus sections of the RFP</w:t>
      </w:r>
    </w:p>
    <w:p w:rsidR="007F0E0C" w:rsidRDefault="007F0E0C" w:rsidP="005A2CF4">
      <w:pPr>
        <w:pStyle w:val="NoSpacing"/>
      </w:pPr>
    </w:p>
    <w:p w:rsidR="007F0E0C" w:rsidRPr="00ED2753" w:rsidRDefault="007F0E0C" w:rsidP="005A2CF4">
      <w:pPr>
        <w:pStyle w:val="NoSpacing"/>
        <w:rPr>
          <w:b/>
        </w:rPr>
      </w:pPr>
      <w:r w:rsidRPr="00ED2753">
        <w:rPr>
          <w:b/>
        </w:rPr>
        <w:t>Proposed status for bonus areas in previous RFP</w:t>
      </w:r>
    </w:p>
    <w:p w:rsidR="007F0E0C" w:rsidRDefault="007F0E0C" w:rsidP="005A2CF4">
      <w:pPr>
        <w:pStyle w:val="NoSpacing"/>
      </w:pPr>
    </w:p>
    <w:p w:rsidR="007F0E0C" w:rsidRDefault="00854810" w:rsidP="00DD3D88">
      <w:pPr>
        <w:pStyle w:val="NoSpacing"/>
        <w:numPr>
          <w:ilvl w:val="0"/>
          <w:numId w:val="11"/>
        </w:numPr>
      </w:pPr>
      <w:r>
        <w:t xml:space="preserve">Move the </w:t>
      </w:r>
      <w:r w:rsidR="007F0E0C">
        <w:t>Communication/Replication</w:t>
      </w:r>
      <w:r>
        <w:t xml:space="preserve"> bonus section of the </w:t>
      </w:r>
      <w:r w:rsidR="006129A2">
        <w:t xml:space="preserve">previous </w:t>
      </w:r>
      <w:r>
        <w:t>RFP to be part of the required Innovation element</w:t>
      </w:r>
      <w:r w:rsidR="006129A2">
        <w:t>.</w:t>
      </w:r>
      <w:r w:rsidR="007F0E0C">
        <w:t xml:space="preserve"> </w:t>
      </w:r>
    </w:p>
    <w:p w:rsidR="007F0E0C" w:rsidRDefault="006129A2" w:rsidP="00DD3D88">
      <w:pPr>
        <w:pStyle w:val="NoSpacing"/>
        <w:numPr>
          <w:ilvl w:val="0"/>
          <w:numId w:val="11"/>
        </w:numPr>
      </w:pPr>
      <w:r>
        <w:t>Eliminate entrepreneurship from the bonus section.</w:t>
      </w:r>
    </w:p>
    <w:p w:rsidR="007F0E0C" w:rsidRDefault="006129A2" w:rsidP="00DD3D88">
      <w:pPr>
        <w:pStyle w:val="NoSpacing"/>
        <w:numPr>
          <w:ilvl w:val="0"/>
          <w:numId w:val="11"/>
        </w:numPr>
      </w:pPr>
      <w:r>
        <w:t>Move the Student Diversity bonus section to a required element.</w:t>
      </w:r>
    </w:p>
    <w:p w:rsidR="006C0AB1" w:rsidRDefault="006C0AB1"/>
    <w:p w:rsidR="007F0E0C" w:rsidRPr="007F0E0C" w:rsidRDefault="006129A2" w:rsidP="005A2CF4">
      <w:pPr>
        <w:pStyle w:val="NoSpacing"/>
        <w:rPr>
          <w:b/>
        </w:rPr>
      </w:pPr>
      <w:r>
        <w:rPr>
          <w:b/>
        </w:rPr>
        <w:t>New bonus sections</w:t>
      </w:r>
    </w:p>
    <w:p w:rsidR="007F0E0C" w:rsidRDefault="007F0E0C" w:rsidP="005A2CF4">
      <w:pPr>
        <w:pStyle w:val="NoSpacing"/>
      </w:pPr>
    </w:p>
    <w:p w:rsidR="007F0E0C" w:rsidRDefault="006129A2" w:rsidP="005A2CF4">
      <w:pPr>
        <w:pStyle w:val="NoSpacing"/>
        <w:rPr>
          <w:u w:val="single"/>
        </w:rPr>
      </w:pPr>
      <w:r w:rsidRPr="00ED2753">
        <w:rPr>
          <w:u w:val="single"/>
        </w:rPr>
        <w:t>Career and Technical Student Organizations (</w:t>
      </w:r>
      <w:proofErr w:type="spellStart"/>
      <w:r w:rsidRPr="00ED2753">
        <w:rPr>
          <w:u w:val="single"/>
        </w:rPr>
        <w:t>CTSO</w:t>
      </w:r>
      <w:proofErr w:type="spellEnd"/>
      <w:r w:rsidRPr="00ED2753">
        <w:rPr>
          <w:u w:val="single"/>
        </w:rPr>
        <w:t>)</w:t>
      </w:r>
      <w:r w:rsidR="007F0E0C" w:rsidRPr="00ED2753">
        <w:rPr>
          <w:u w:val="single"/>
        </w:rPr>
        <w:t>:</w:t>
      </w:r>
    </w:p>
    <w:p w:rsidR="00DC11A1" w:rsidRPr="00ED2753" w:rsidRDefault="00DC11A1" w:rsidP="005A2CF4">
      <w:pPr>
        <w:pStyle w:val="NoSpacing"/>
        <w:rPr>
          <w:u w:val="single"/>
        </w:rPr>
      </w:pPr>
    </w:p>
    <w:p w:rsidR="007F0E0C" w:rsidRDefault="006129A2" w:rsidP="007F0E0C">
      <w:pPr>
        <w:pStyle w:val="NoSpacing"/>
        <w:numPr>
          <w:ilvl w:val="0"/>
          <w:numId w:val="3"/>
        </w:numPr>
      </w:pPr>
      <w:r>
        <w:t>I</w:t>
      </w:r>
      <w:r w:rsidR="007F0E0C">
        <w:t>mbedded in the overall CTE and school program</w:t>
      </w:r>
      <w:r w:rsidR="00097720">
        <w:t>.</w:t>
      </w:r>
    </w:p>
    <w:p w:rsidR="007F0E0C" w:rsidRDefault="007F0E0C" w:rsidP="007F0E0C">
      <w:pPr>
        <w:pStyle w:val="NoSpacing"/>
        <w:numPr>
          <w:ilvl w:val="0"/>
          <w:numId w:val="3"/>
        </w:numPr>
      </w:pPr>
      <w:r>
        <w:t>Sustainable beyond the grant</w:t>
      </w:r>
      <w:r w:rsidR="00097720">
        <w:t>.</w:t>
      </w:r>
    </w:p>
    <w:p w:rsidR="007F0E0C" w:rsidRDefault="007F0E0C" w:rsidP="007F0E0C">
      <w:pPr>
        <w:pStyle w:val="NoSpacing"/>
        <w:numPr>
          <w:ilvl w:val="0"/>
          <w:numId w:val="3"/>
        </w:numPr>
      </w:pPr>
      <w:r>
        <w:t>Links to business in the community</w:t>
      </w:r>
      <w:r w:rsidR="00097720">
        <w:t>.</w:t>
      </w:r>
    </w:p>
    <w:p w:rsidR="007F0E0C" w:rsidRDefault="007F0E0C" w:rsidP="007F0E0C">
      <w:pPr>
        <w:pStyle w:val="NoSpacing"/>
        <w:numPr>
          <w:ilvl w:val="0"/>
          <w:numId w:val="3"/>
        </w:numPr>
      </w:pPr>
      <w:r>
        <w:t>Builds student involvement starting in earlier grades</w:t>
      </w:r>
      <w:r w:rsidR="00097720">
        <w:t>.</w:t>
      </w:r>
    </w:p>
    <w:p w:rsidR="007F0E0C" w:rsidRDefault="007F0E0C" w:rsidP="007F0E0C">
      <w:pPr>
        <w:pStyle w:val="NoSpacing"/>
      </w:pPr>
    </w:p>
    <w:p w:rsidR="006129A2" w:rsidRDefault="007F0E0C" w:rsidP="006129A2">
      <w:pPr>
        <w:pStyle w:val="NoSpacing"/>
        <w:rPr>
          <w:u w:val="single"/>
        </w:rPr>
      </w:pPr>
      <w:r w:rsidRPr="00ED2753">
        <w:rPr>
          <w:u w:val="single"/>
        </w:rPr>
        <w:t>Middle School Component</w:t>
      </w:r>
      <w:r w:rsidR="006129A2" w:rsidRPr="00ED2753">
        <w:rPr>
          <w:u w:val="single"/>
        </w:rPr>
        <w:t xml:space="preserve"> </w:t>
      </w:r>
    </w:p>
    <w:p w:rsidR="00DC11A1" w:rsidRPr="00ED2753" w:rsidRDefault="00DC11A1" w:rsidP="006129A2">
      <w:pPr>
        <w:pStyle w:val="NoSpacing"/>
        <w:rPr>
          <w:u w:val="single"/>
        </w:rPr>
      </w:pPr>
    </w:p>
    <w:p w:rsidR="007F0E0C" w:rsidRDefault="006129A2" w:rsidP="006129A2">
      <w:pPr>
        <w:pStyle w:val="NoSpacing"/>
        <w:numPr>
          <w:ilvl w:val="0"/>
          <w:numId w:val="6"/>
        </w:numPr>
      </w:pPr>
      <w:r>
        <w:t>Encourages middle school students to continue in CTE programs.</w:t>
      </w:r>
    </w:p>
    <w:p w:rsidR="007F0E0C" w:rsidRDefault="007F0E0C" w:rsidP="007F0E0C">
      <w:pPr>
        <w:pStyle w:val="NoSpacing"/>
      </w:pPr>
    </w:p>
    <w:p w:rsidR="007F0E0C" w:rsidRDefault="007F0E0C" w:rsidP="007F0E0C">
      <w:pPr>
        <w:pStyle w:val="NoSpacing"/>
        <w:rPr>
          <w:u w:val="single"/>
        </w:rPr>
      </w:pPr>
      <w:r w:rsidRPr="00ED2753">
        <w:rPr>
          <w:u w:val="single"/>
        </w:rPr>
        <w:t>Summer/After School Programming</w:t>
      </w:r>
    </w:p>
    <w:p w:rsidR="00DC11A1" w:rsidRPr="00ED2753" w:rsidRDefault="00DC11A1" w:rsidP="007F0E0C">
      <w:pPr>
        <w:pStyle w:val="NoSpacing"/>
        <w:rPr>
          <w:u w:val="single"/>
        </w:rPr>
      </w:pPr>
    </w:p>
    <w:p w:rsidR="006129A2" w:rsidRDefault="006129A2" w:rsidP="006129A2">
      <w:pPr>
        <w:pStyle w:val="NoSpacing"/>
        <w:numPr>
          <w:ilvl w:val="0"/>
          <w:numId w:val="5"/>
        </w:numPr>
      </w:pPr>
      <w:r>
        <w:t>Involves younger students to build interest in CTE</w:t>
      </w:r>
      <w:r w:rsidR="00097720">
        <w:t>.</w:t>
      </w:r>
    </w:p>
    <w:p w:rsidR="006129A2" w:rsidRDefault="006129A2" w:rsidP="006129A2">
      <w:pPr>
        <w:pStyle w:val="NoSpacing"/>
        <w:numPr>
          <w:ilvl w:val="0"/>
          <w:numId w:val="5"/>
        </w:numPr>
      </w:pPr>
      <w:r>
        <w:t>Connects to CTE opportunities offered during the school day</w:t>
      </w:r>
      <w:r w:rsidR="00097720">
        <w:t>.</w:t>
      </w:r>
    </w:p>
    <w:p w:rsidR="007F0E0C" w:rsidRDefault="007F0E0C" w:rsidP="007F0E0C">
      <w:pPr>
        <w:pStyle w:val="NoSpacing"/>
      </w:pPr>
    </w:p>
    <w:p w:rsidR="007F0E0C" w:rsidRDefault="007F0E0C" w:rsidP="007F0E0C">
      <w:pPr>
        <w:pStyle w:val="NoSpacing"/>
        <w:rPr>
          <w:u w:val="single"/>
        </w:rPr>
      </w:pPr>
      <w:r w:rsidRPr="00ED2753">
        <w:rPr>
          <w:u w:val="single"/>
        </w:rPr>
        <w:t>A focus on regional, statewide, or system changes</w:t>
      </w:r>
    </w:p>
    <w:p w:rsidR="00DC11A1" w:rsidRPr="00ED2753" w:rsidRDefault="00DC11A1" w:rsidP="007F0E0C">
      <w:pPr>
        <w:pStyle w:val="NoSpacing"/>
        <w:rPr>
          <w:u w:val="single"/>
        </w:rPr>
      </w:pPr>
    </w:p>
    <w:p w:rsidR="006129A2" w:rsidRDefault="006129A2" w:rsidP="00B76F82">
      <w:pPr>
        <w:pStyle w:val="NoSpacing"/>
        <w:numPr>
          <w:ilvl w:val="0"/>
          <w:numId w:val="7"/>
        </w:numPr>
      </w:pPr>
      <w:r>
        <w:t>Promot</w:t>
      </w:r>
      <w:r w:rsidR="00B76F82">
        <w:t>es sharing between schools and districts</w:t>
      </w:r>
      <w:r w:rsidR="00097720">
        <w:t>.</w:t>
      </w:r>
    </w:p>
    <w:p w:rsidR="00B76F82" w:rsidRDefault="00B76F82" w:rsidP="00B76F82">
      <w:pPr>
        <w:pStyle w:val="NoSpacing"/>
        <w:numPr>
          <w:ilvl w:val="0"/>
          <w:numId w:val="7"/>
        </w:numPr>
      </w:pPr>
      <w:r>
        <w:t>Produces a greater impact than a set of single projects</w:t>
      </w:r>
      <w:r w:rsidR="00097720">
        <w:t>.</w:t>
      </w:r>
    </w:p>
    <w:p w:rsidR="006C0AB1" w:rsidRDefault="006C0AB1">
      <w:r>
        <w:br w:type="page"/>
      </w:r>
    </w:p>
    <w:p w:rsidR="007F0E0C" w:rsidRDefault="007F0E0C" w:rsidP="007F0E0C">
      <w:pPr>
        <w:pStyle w:val="NoSpacing"/>
      </w:pPr>
    </w:p>
    <w:p w:rsidR="007F0E0C" w:rsidRDefault="007F0E0C" w:rsidP="007F0E0C">
      <w:pPr>
        <w:pStyle w:val="NoSpacing"/>
        <w:rPr>
          <w:b/>
          <w:sz w:val="28"/>
          <w:szCs w:val="28"/>
        </w:rPr>
      </w:pPr>
      <w:r w:rsidRPr="00DC11A1">
        <w:rPr>
          <w:b/>
          <w:sz w:val="28"/>
          <w:szCs w:val="28"/>
        </w:rPr>
        <w:t>Process Decisions</w:t>
      </w:r>
    </w:p>
    <w:p w:rsidR="00DC11A1" w:rsidRDefault="00DC11A1" w:rsidP="007F0E0C">
      <w:pPr>
        <w:pStyle w:val="NoSpacing"/>
        <w:rPr>
          <w:b/>
          <w:sz w:val="28"/>
          <w:szCs w:val="28"/>
        </w:rPr>
      </w:pPr>
    </w:p>
    <w:p w:rsidR="00DC11A1" w:rsidRPr="00DC11A1" w:rsidRDefault="00DC11A1" w:rsidP="007F0E0C">
      <w:pPr>
        <w:pStyle w:val="NoSpacing"/>
        <w:rPr>
          <w:b/>
          <w:szCs w:val="24"/>
        </w:rPr>
      </w:pPr>
      <w:r w:rsidRPr="00DC11A1">
        <w:rPr>
          <w:b/>
          <w:szCs w:val="24"/>
        </w:rPr>
        <w:t>Past Recipients</w:t>
      </w:r>
    </w:p>
    <w:p w:rsidR="007F0E0C" w:rsidRDefault="007F0E0C" w:rsidP="007F0E0C">
      <w:pPr>
        <w:pStyle w:val="NoSpacing"/>
      </w:pPr>
    </w:p>
    <w:p w:rsidR="007F0E0C" w:rsidRDefault="00C77B28" w:rsidP="007F0E0C">
      <w:pPr>
        <w:pStyle w:val="NoSpacing"/>
      </w:pPr>
      <w:r>
        <w:t>Previous recipients may apply under the following conditions</w:t>
      </w:r>
      <w:r w:rsidR="00B76F82">
        <w:t>:</w:t>
      </w:r>
    </w:p>
    <w:p w:rsidR="00C77B28" w:rsidRDefault="00C77B28" w:rsidP="007F0E0C">
      <w:pPr>
        <w:pStyle w:val="NoSpacing"/>
      </w:pPr>
    </w:p>
    <w:p w:rsidR="00C77B28" w:rsidRDefault="00C77B28" w:rsidP="00C77B28">
      <w:pPr>
        <w:pStyle w:val="NoSpacing"/>
        <w:numPr>
          <w:ilvl w:val="0"/>
          <w:numId w:val="4"/>
        </w:numPr>
      </w:pPr>
      <w:r>
        <w:t>The proposal is a new project;</w:t>
      </w:r>
    </w:p>
    <w:p w:rsidR="00C77B28" w:rsidRDefault="00C77B28" w:rsidP="007F0E0C">
      <w:pPr>
        <w:pStyle w:val="NoSpacing"/>
        <w:numPr>
          <w:ilvl w:val="0"/>
          <w:numId w:val="4"/>
        </w:numPr>
      </w:pPr>
      <w:r>
        <w:t>The proposal is a clear expansion of the previous project based on positive results; OR</w:t>
      </w:r>
    </w:p>
    <w:p w:rsidR="00C77B28" w:rsidRDefault="00C77B28" w:rsidP="00C77B28">
      <w:pPr>
        <w:pStyle w:val="NoSpacing"/>
        <w:numPr>
          <w:ilvl w:val="0"/>
          <w:numId w:val="4"/>
        </w:numPr>
      </w:pPr>
      <w:r>
        <w:t>The recipient is a partner in a new collaborative grant project.</w:t>
      </w:r>
    </w:p>
    <w:p w:rsidR="00C77B28" w:rsidRDefault="00C77B28" w:rsidP="00C77B28">
      <w:pPr>
        <w:pStyle w:val="ListParagraph"/>
      </w:pPr>
    </w:p>
    <w:p w:rsidR="00C77B28" w:rsidRPr="00C77B28" w:rsidRDefault="00C77B28" w:rsidP="00C77B28">
      <w:pPr>
        <w:pStyle w:val="NoSpacing"/>
        <w:rPr>
          <w:b/>
        </w:rPr>
      </w:pPr>
      <w:r w:rsidRPr="00C77B28">
        <w:rPr>
          <w:b/>
        </w:rPr>
        <w:t>Funding Levels</w:t>
      </w:r>
    </w:p>
    <w:p w:rsidR="00C77B28" w:rsidRDefault="00C77B28" w:rsidP="00C77B28">
      <w:pPr>
        <w:pStyle w:val="NoSpacing"/>
      </w:pPr>
    </w:p>
    <w:p w:rsidR="00C77B28" w:rsidRDefault="00C77B28" w:rsidP="00C77B28">
      <w:pPr>
        <w:pStyle w:val="NoSpacing"/>
      </w:pPr>
      <w:r>
        <w:t>The m</w:t>
      </w:r>
      <w:r w:rsidR="00B76F82">
        <w:t>aximum funding for a project should</w:t>
      </w:r>
      <w:r>
        <w:t xml:space="preserve"> be $500,000 with no minimum.  ODE may be asked to renegotiate final budg</w:t>
      </w:r>
      <w:r w:rsidR="00B76F82">
        <w:t>ets for projects over $250,000.</w:t>
      </w:r>
    </w:p>
    <w:p w:rsidR="00C77B28" w:rsidRDefault="00C77B28" w:rsidP="00C77B28">
      <w:pPr>
        <w:pStyle w:val="NoSpacing"/>
      </w:pPr>
    </w:p>
    <w:p w:rsidR="00C77B28" w:rsidRPr="00ED2753" w:rsidRDefault="00B76F82" w:rsidP="00C77B28">
      <w:pPr>
        <w:pStyle w:val="NoSpacing"/>
        <w:rPr>
          <w:b/>
        </w:rPr>
      </w:pPr>
      <w:r w:rsidRPr="00ED2753">
        <w:rPr>
          <w:b/>
        </w:rPr>
        <w:t>Addressing Budget Notes</w:t>
      </w:r>
    </w:p>
    <w:p w:rsidR="00B76F82" w:rsidRDefault="00B76F82" w:rsidP="00C77B28">
      <w:pPr>
        <w:pStyle w:val="NoSpacing"/>
      </w:pPr>
    </w:p>
    <w:p w:rsidR="00B76F82" w:rsidRDefault="00B76F82" w:rsidP="00C77B28">
      <w:pPr>
        <w:pStyle w:val="NoSpacing"/>
      </w:pPr>
      <w:r>
        <w:t xml:space="preserve">The following budget notes were included in </w:t>
      </w:r>
      <w:r w:rsidR="00E800B2">
        <w:t>SB 498 which established the CTE Revitalization Grant funding level for the biennium.</w:t>
      </w:r>
    </w:p>
    <w:p w:rsidR="00B76F82" w:rsidRDefault="00B76F82" w:rsidP="00C77B28">
      <w:pPr>
        <w:pStyle w:val="NoSpacing"/>
      </w:pPr>
    </w:p>
    <w:p w:rsidR="00E800B2" w:rsidRPr="00B76F82" w:rsidRDefault="00B76F82" w:rsidP="00DC11A1">
      <w:pPr>
        <w:pStyle w:val="NoSpacing"/>
        <w:numPr>
          <w:ilvl w:val="0"/>
          <w:numId w:val="8"/>
        </w:numPr>
      </w:pPr>
      <w:r w:rsidRPr="00B76F82">
        <w:t>Award grants totaling at least $1 million to be used for CTE projects directly involving CTE Student Organizations.</w:t>
      </w:r>
    </w:p>
    <w:p w:rsidR="00B76F82" w:rsidRDefault="00B76F82" w:rsidP="00E800B2">
      <w:pPr>
        <w:pStyle w:val="NoSpacing"/>
        <w:numPr>
          <w:ilvl w:val="0"/>
          <w:numId w:val="8"/>
        </w:numPr>
      </w:pPr>
      <w:r w:rsidRPr="00B76F82">
        <w:t>Award at least $1 million in grants to be used for CTE projects that have a clear tie-in to STEM (Science, Technology, Engineering, and Math).</w:t>
      </w:r>
    </w:p>
    <w:p w:rsidR="003F7395" w:rsidRDefault="003F7395" w:rsidP="00E800B2">
      <w:pPr>
        <w:pStyle w:val="ListParagraph"/>
        <w:sectPr w:rsidR="003F7395" w:rsidSect="006C0AB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0B2" w:rsidRDefault="00E800B2" w:rsidP="00E800B2">
      <w:pPr>
        <w:pStyle w:val="ListParagraph"/>
      </w:pPr>
    </w:p>
    <w:p w:rsidR="00E800B2" w:rsidRDefault="00E800B2" w:rsidP="00E800B2">
      <w:pPr>
        <w:pStyle w:val="NoSpacing"/>
      </w:pPr>
      <w:r>
        <w:t>The Committee recommended the following process to assure that the budget note requirements are met.</w:t>
      </w:r>
    </w:p>
    <w:p w:rsidR="00C77B28" w:rsidRDefault="00C77B28" w:rsidP="00C77B28">
      <w:pPr>
        <w:pStyle w:val="NoSpacing"/>
      </w:pPr>
    </w:p>
    <w:p w:rsidR="00C77B28" w:rsidRDefault="00C77B28" w:rsidP="00E800B2">
      <w:pPr>
        <w:pStyle w:val="NoSpacing"/>
        <w:numPr>
          <w:ilvl w:val="0"/>
          <w:numId w:val="9"/>
        </w:numPr>
      </w:pPr>
      <w:r>
        <w:t>All proposals will be evaluated equally initially.  After ranking proposals, the commit</w:t>
      </w:r>
      <w:r w:rsidR="00DC11A1">
        <w:t>tee will make recommendations for funding to</w:t>
      </w:r>
      <w:r>
        <w:t xml:space="preserve"> </w:t>
      </w:r>
      <w:r w:rsidR="00340BF4">
        <w:t>ensure adherence to the funding requirements and parameters stated in the budget notes</w:t>
      </w:r>
      <w:r>
        <w:t>.</w:t>
      </w:r>
    </w:p>
    <w:p w:rsidR="00C77B28" w:rsidRDefault="00C77B28" w:rsidP="00E800B2">
      <w:pPr>
        <w:pStyle w:val="NoSpacing"/>
        <w:numPr>
          <w:ilvl w:val="0"/>
          <w:numId w:val="9"/>
        </w:numPr>
      </w:pPr>
      <w:r>
        <w:t xml:space="preserve">Projects that involve </w:t>
      </w:r>
      <w:proofErr w:type="spellStart"/>
      <w:r>
        <w:t>CTSOs</w:t>
      </w:r>
      <w:proofErr w:type="spellEnd"/>
      <w:r>
        <w:t xml:space="preserve"> will be encou</w:t>
      </w:r>
      <w:r w:rsidR="00E800B2">
        <w:t>raged by providing bonus points in the RFP.</w:t>
      </w:r>
    </w:p>
    <w:p w:rsidR="00C77B28" w:rsidRDefault="00C77B28" w:rsidP="00E800B2">
      <w:pPr>
        <w:pStyle w:val="NoSpacing"/>
        <w:numPr>
          <w:ilvl w:val="0"/>
          <w:numId w:val="9"/>
        </w:numPr>
      </w:pPr>
      <w:r>
        <w:t>Since the previous cycle of funding had more than $</w:t>
      </w:r>
      <w:proofErr w:type="spellStart"/>
      <w:r>
        <w:t>1.0M</w:t>
      </w:r>
      <w:proofErr w:type="spellEnd"/>
      <w:r>
        <w:t xml:space="preserve"> in STEM projects, STEM proposals will not have bonus points.  The RFP will provide guidance on what will be considered a STEM focus.  Guidance from the committee</w:t>
      </w:r>
      <w:r w:rsidR="00E800B2">
        <w:t xml:space="preserve"> included</w:t>
      </w:r>
      <w:r>
        <w:t>:</w:t>
      </w:r>
    </w:p>
    <w:p w:rsidR="00C77B28" w:rsidRDefault="00C77B28" w:rsidP="00E800B2">
      <w:pPr>
        <w:pStyle w:val="NoSpacing"/>
        <w:numPr>
          <w:ilvl w:val="1"/>
          <w:numId w:val="9"/>
        </w:numPr>
      </w:pPr>
      <w:r>
        <w:t>Integration of STEM content within CTE</w:t>
      </w:r>
      <w:r w:rsidR="00E800B2">
        <w:t>.</w:t>
      </w:r>
    </w:p>
    <w:p w:rsidR="00E800B2" w:rsidRDefault="00E800B2" w:rsidP="00E800B2">
      <w:pPr>
        <w:pStyle w:val="NoSpacing"/>
        <w:numPr>
          <w:ilvl w:val="1"/>
          <w:numId w:val="9"/>
        </w:numPr>
      </w:pPr>
      <w:r>
        <w:t>Support of a broad interpretation of STEM occupations.</w:t>
      </w:r>
    </w:p>
    <w:p w:rsidR="006C0AB1" w:rsidRDefault="006C0AB1" w:rsidP="00E800B2">
      <w:pPr>
        <w:pStyle w:val="NoSpacing"/>
        <w:sectPr w:rsidR="006C0AB1" w:rsidSect="003F7395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800B2" w:rsidRDefault="00E800B2" w:rsidP="00E800B2">
      <w:pPr>
        <w:pStyle w:val="NoSpacing"/>
      </w:pPr>
    </w:p>
    <w:p w:rsidR="00E800B2" w:rsidRPr="00ED2753" w:rsidRDefault="00E800B2" w:rsidP="00E800B2">
      <w:pPr>
        <w:pStyle w:val="NoSpacing"/>
        <w:rPr>
          <w:b/>
        </w:rPr>
      </w:pPr>
      <w:r w:rsidRPr="00ED2753">
        <w:rPr>
          <w:b/>
        </w:rPr>
        <w:t>Assuring Quality Proposals</w:t>
      </w:r>
    </w:p>
    <w:p w:rsidR="00E800B2" w:rsidRDefault="00E800B2" w:rsidP="00E800B2">
      <w:pPr>
        <w:pStyle w:val="NoSpacing"/>
      </w:pPr>
    </w:p>
    <w:p w:rsidR="00E800B2" w:rsidRDefault="00E800B2" w:rsidP="00E800B2">
      <w:pPr>
        <w:pStyle w:val="NoSpacing"/>
      </w:pPr>
      <w:r>
        <w:t>The Committee suggested the following actions to assure that only quality proposals are funded.</w:t>
      </w:r>
    </w:p>
    <w:p w:rsidR="00E800B2" w:rsidRDefault="00E800B2" w:rsidP="00E800B2">
      <w:pPr>
        <w:pStyle w:val="NoSpacing"/>
      </w:pPr>
    </w:p>
    <w:p w:rsidR="00E800B2" w:rsidRDefault="00E800B2" w:rsidP="00ED2753">
      <w:pPr>
        <w:pStyle w:val="NoSpacing"/>
        <w:numPr>
          <w:ilvl w:val="0"/>
          <w:numId w:val="10"/>
        </w:numPr>
      </w:pPr>
      <w:r>
        <w:t>Establish a “cut score” for proposal.  Proposals that receive scores below that level would not be funded.</w:t>
      </w:r>
    </w:p>
    <w:p w:rsidR="00E800B2" w:rsidRDefault="00E800B2" w:rsidP="00ED2753">
      <w:pPr>
        <w:pStyle w:val="NoSpacing"/>
        <w:numPr>
          <w:ilvl w:val="0"/>
          <w:numId w:val="10"/>
        </w:numPr>
      </w:pPr>
      <w:r>
        <w:t>Increase the visibility of the grant program to assure a large number of quality proposals.</w:t>
      </w:r>
    </w:p>
    <w:p w:rsidR="00E800B2" w:rsidRDefault="00E800B2" w:rsidP="00ED2753">
      <w:pPr>
        <w:pStyle w:val="NoSpacing"/>
        <w:numPr>
          <w:ilvl w:val="0"/>
          <w:numId w:val="10"/>
        </w:numPr>
      </w:pPr>
      <w:r>
        <w:t>In the event that funds remain after making awards to quality proposals, create a second r</w:t>
      </w:r>
      <w:r w:rsidR="00ED2753">
        <w:t>ound of grant applications.</w:t>
      </w:r>
    </w:p>
    <w:p w:rsidR="00DD3D88" w:rsidRDefault="00DD3D88" w:rsidP="00DD3D88">
      <w:pPr>
        <w:pStyle w:val="ListParagraph"/>
      </w:pPr>
    </w:p>
    <w:p w:rsidR="00DD3D88" w:rsidRPr="00DC11A1" w:rsidRDefault="00DD3D88" w:rsidP="00DD3D88">
      <w:pPr>
        <w:pStyle w:val="NoSpacing"/>
        <w:rPr>
          <w:b/>
          <w:sz w:val="28"/>
          <w:szCs w:val="28"/>
        </w:rPr>
      </w:pPr>
      <w:r w:rsidRPr="00DC11A1">
        <w:rPr>
          <w:b/>
          <w:sz w:val="28"/>
          <w:szCs w:val="28"/>
        </w:rPr>
        <w:t>Public Testimony</w:t>
      </w:r>
    </w:p>
    <w:p w:rsidR="00DD3D88" w:rsidRDefault="00DD3D88" w:rsidP="00DD3D88">
      <w:pPr>
        <w:pStyle w:val="NoSpacing"/>
      </w:pPr>
    </w:p>
    <w:p w:rsidR="00DD3D88" w:rsidRPr="00EB169C" w:rsidRDefault="00730531" w:rsidP="00DD3D88">
      <w:pPr>
        <w:pStyle w:val="NoSpacing"/>
      </w:pPr>
      <w:r>
        <w:t>No</w:t>
      </w:r>
      <w:r w:rsidR="00DD3D88">
        <w:t xml:space="preserve"> additional public testimony was submitted at the meeting.</w:t>
      </w:r>
    </w:p>
    <w:sectPr w:rsidR="00DD3D88" w:rsidRPr="00EB169C" w:rsidSect="006C0AB1"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E9" w:rsidRDefault="007F61E9" w:rsidP="00361D1B">
      <w:pPr>
        <w:spacing w:after="0"/>
      </w:pPr>
      <w:r>
        <w:separator/>
      </w:r>
    </w:p>
  </w:endnote>
  <w:endnote w:type="continuationSeparator" w:id="0">
    <w:p w:rsidR="007F61E9" w:rsidRDefault="007F61E9" w:rsidP="00361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1" w:rsidRDefault="006C0AB1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</w:p>
  <w:p w:rsidR="00361D1B" w:rsidRDefault="00361D1B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b/>
        <w:i/>
        <w:sz w:val="22"/>
      </w:rPr>
    </w:pPr>
    <w:r w:rsidRPr="00683D09">
      <w:rPr>
        <w:rFonts w:eastAsia="Calibri" w:cs="Times New Roman"/>
        <w:i/>
        <w:sz w:val="22"/>
      </w:rPr>
      <w:t>Oregon Department of Education | July 2013</w:t>
    </w:r>
    <w:r w:rsidR="00340BF4">
      <w:rPr>
        <w:rFonts w:eastAsia="Calibri" w:cs="Times New Roman"/>
        <w:i/>
        <w:sz w:val="22"/>
      </w:rPr>
      <w:tab/>
    </w:r>
    <w:r w:rsidR="00340BF4">
      <w:rPr>
        <w:rFonts w:eastAsia="Calibri" w:cs="Times New Roman"/>
        <w:i/>
        <w:sz w:val="22"/>
      </w:rPr>
      <w:tab/>
    </w:r>
    <w:r w:rsidR="00340BF4" w:rsidRPr="00340BF4">
      <w:rPr>
        <w:rFonts w:eastAsia="Calibri" w:cs="Times New Roman"/>
        <w:i/>
        <w:sz w:val="22"/>
      </w:rPr>
      <w:t xml:space="preserve">Page </w:t>
    </w:r>
    <w:r w:rsidR="00340BF4" w:rsidRPr="00340BF4">
      <w:rPr>
        <w:rFonts w:eastAsia="Calibri" w:cs="Times New Roman"/>
        <w:b/>
        <w:i/>
        <w:sz w:val="22"/>
      </w:rPr>
      <w:fldChar w:fldCharType="begin"/>
    </w:r>
    <w:r w:rsidR="00340BF4" w:rsidRPr="00340BF4">
      <w:rPr>
        <w:rFonts w:eastAsia="Calibri" w:cs="Times New Roman"/>
        <w:b/>
        <w:i/>
        <w:sz w:val="22"/>
      </w:rPr>
      <w:instrText xml:space="preserve"> PAGE  \* Arabic  \* MERGEFORMAT </w:instrText>
    </w:r>
    <w:r w:rsidR="00340BF4" w:rsidRPr="00340BF4">
      <w:rPr>
        <w:rFonts w:eastAsia="Calibri" w:cs="Times New Roman"/>
        <w:b/>
        <w:i/>
        <w:sz w:val="22"/>
      </w:rPr>
      <w:fldChar w:fldCharType="separate"/>
    </w:r>
    <w:r w:rsidR="00E50AB5">
      <w:rPr>
        <w:rFonts w:eastAsia="Calibri" w:cs="Times New Roman"/>
        <w:b/>
        <w:i/>
        <w:noProof/>
        <w:sz w:val="22"/>
      </w:rPr>
      <w:t>2</w:t>
    </w:r>
    <w:r w:rsidR="00340BF4" w:rsidRPr="00340BF4">
      <w:rPr>
        <w:rFonts w:eastAsia="Calibri" w:cs="Times New Roman"/>
        <w:b/>
        <w:i/>
        <w:sz w:val="22"/>
      </w:rPr>
      <w:fldChar w:fldCharType="end"/>
    </w:r>
    <w:r w:rsidR="00340BF4" w:rsidRPr="00340BF4">
      <w:rPr>
        <w:rFonts w:eastAsia="Calibri" w:cs="Times New Roman"/>
        <w:i/>
        <w:sz w:val="22"/>
      </w:rPr>
      <w:t xml:space="preserve"> of </w:t>
    </w:r>
    <w:r w:rsidR="00340BF4" w:rsidRPr="00340BF4">
      <w:rPr>
        <w:rFonts w:eastAsia="Calibri" w:cs="Times New Roman"/>
        <w:b/>
        <w:i/>
        <w:sz w:val="22"/>
      </w:rPr>
      <w:fldChar w:fldCharType="begin"/>
    </w:r>
    <w:r w:rsidR="00340BF4" w:rsidRPr="00340BF4">
      <w:rPr>
        <w:rFonts w:eastAsia="Calibri" w:cs="Times New Roman"/>
        <w:b/>
        <w:i/>
        <w:sz w:val="22"/>
      </w:rPr>
      <w:instrText xml:space="preserve"> NUMPAGES  \* Arabic  \* MERGEFORMAT </w:instrText>
    </w:r>
    <w:r w:rsidR="00340BF4" w:rsidRPr="00340BF4">
      <w:rPr>
        <w:rFonts w:eastAsia="Calibri" w:cs="Times New Roman"/>
        <w:b/>
        <w:i/>
        <w:sz w:val="22"/>
      </w:rPr>
      <w:fldChar w:fldCharType="separate"/>
    </w:r>
    <w:r w:rsidR="00E50AB5">
      <w:rPr>
        <w:rFonts w:eastAsia="Calibri" w:cs="Times New Roman"/>
        <w:b/>
        <w:i/>
        <w:noProof/>
        <w:sz w:val="22"/>
      </w:rPr>
      <w:t>5</w:t>
    </w:r>
    <w:r w:rsidR="00340BF4" w:rsidRPr="00340BF4">
      <w:rPr>
        <w:rFonts w:eastAsia="Calibri" w:cs="Times New Roman"/>
        <w:b/>
        <w:i/>
        <w:sz w:val="22"/>
      </w:rPr>
      <w:fldChar w:fldCharType="end"/>
    </w:r>
  </w:p>
  <w:p w:rsidR="006C0AB1" w:rsidRDefault="006C0AB1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b/>
        <w:i/>
        <w:sz w:val="22"/>
      </w:rPr>
    </w:pPr>
  </w:p>
  <w:p w:rsidR="006C0AB1" w:rsidRPr="00683D09" w:rsidRDefault="006C0AB1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1" w:rsidRDefault="006C0AB1">
    <w:pPr>
      <w:pStyle w:val="Footer"/>
      <w:rPr>
        <w:i/>
      </w:rPr>
    </w:pPr>
  </w:p>
  <w:p w:rsidR="006C0AB1" w:rsidRDefault="003F7395">
    <w:pPr>
      <w:pStyle w:val="Footer"/>
      <w:rPr>
        <w:b/>
      </w:rPr>
    </w:pPr>
    <w:r w:rsidRPr="006C0AB1">
      <w:rPr>
        <w:i/>
      </w:rPr>
      <w:t>Oregon Department of Education | July 2013</w:t>
    </w:r>
    <w:r w:rsidR="00340BF4">
      <w:t xml:space="preserve"> </w:t>
    </w:r>
    <w:r w:rsidR="00340BF4">
      <w:tab/>
    </w:r>
    <w:r w:rsidR="00BA50BF">
      <w:t xml:space="preserve">Page </w:t>
    </w:r>
    <w:r w:rsidR="00BA50BF">
      <w:rPr>
        <w:b/>
      </w:rPr>
      <w:fldChar w:fldCharType="begin"/>
    </w:r>
    <w:r w:rsidR="00BA50BF">
      <w:rPr>
        <w:b/>
      </w:rPr>
      <w:instrText xml:space="preserve"> PAGE  \* Arabic  \* MERGEFORMAT </w:instrText>
    </w:r>
    <w:r w:rsidR="00BA50BF">
      <w:rPr>
        <w:b/>
      </w:rPr>
      <w:fldChar w:fldCharType="separate"/>
    </w:r>
    <w:r w:rsidR="00614D81">
      <w:rPr>
        <w:b/>
        <w:noProof/>
      </w:rPr>
      <w:t>1</w:t>
    </w:r>
    <w:r w:rsidR="00BA50BF">
      <w:rPr>
        <w:b/>
      </w:rPr>
      <w:fldChar w:fldCharType="end"/>
    </w:r>
    <w:r w:rsidR="00BA50BF">
      <w:t xml:space="preserve"> of </w:t>
    </w:r>
    <w:r w:rsidR="009C4526">
      <w:rPr>
        <w:b/>
      </w:rPr>
      <w:t>5</w:t>
    </w:r>
  </w:p>
  <w:p w:rsidR="006C0AB1" w:rsidRPr="00806003" w:rsidRDefault="006C0AB1" w:rsidP="006C0AB1">
    <w:pPr>
      <w:pStyle w:val="Footer"/>
      <w:rPr>
        <w:bCs/>
        <w:i/>
        <w:iCs/>
        <w:sz w:val="18"/>
      </w:rPr>
    </w:pPr>
    <w:r w:rsidRPr="00806003">
      <w:rPr>
        <w:bCs/>
        <w:i/>
        <w:iCs/>
        <w:sz w:val="18"/>
      </w:rPr>
      <w:t>The CTE brand logo, brand-positioning, theme, and brand extensions are the property of NASDCTEc.</w:t>
    </w:r>
  </w:p>
  <w:p w:rsidR="006C0AB1" w:rsidRDefault="006C0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B5" w:rsidRDefault="00E50AB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</w:p>
  <w:p w:rsidR="00E50AB5" w:rsidRDefault="00E50AB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b/>
        <w:i/>
        <w:sz w:val="22"/>
      </w:rPr>
    </w:pPr>
    <w:r w:rsidRPr="00683D09">
      <w:rPr>
        <w:rFonts w:eastAsia="Calibri" w:cs="Times New Roman"/>
        <w:i/>
        <w:sz w:val="22"/>
      </w:rPr>
      <w:t>Oregon Department of Education | July 2013</w:t>
    </w:r>
    <w:r>
      <w:rPr>
        <w:rFonts w:eastAsia="Calibri" w:cs="Times New Roman"/>
        <w:i/>
        <w:sz w:val="22"/>
      </w:rPr>
      <w:tab/>
    </w:r>
    <w:r>
      <w:rPr>
        <w:rFonts w:eastAsia="Calibri" w:cs="Times New Roman"/>
        <w:i/>
        <w:sz w:val="22"/>
      </w:rPr>
      <w:tab/>
    </w:r>
    <w:r w:rsidRPr="00340BF4">
      <w:rPr>
        <w:rFonts w:eastAsia="Calibri" w:cs="Times New Roman"/>
        <w:i/>
        <w:sz w:val="22"/>
      </w:rPr>
      <w:t xml:space="preserve">Page </w:t>
    </w:r>
    <w:r w:rsidRPr="00340BF4">
      <w:rPr>
        <w:rFonts w:eastAsia="Calibri" w:cs="Times New Roman"/>
        <w:b/>
        <w:i/>
        <w:sz w:val="22"/>
      </w:rPr>
      <w:fldChar w:fldCharType="begin"/>
    </w:r>
    <w:r w:rsidRPr="00340BF4">
      <w:rPr>
        <w:rFonts w:eastAsia="Calibri" w:cs="Times New Roman"/>
        <w:b/>
        <w:i/>
        <w:sz w:val="22"/>
      </w:rPr>
      <w:instrText xml:space="preserve"> PAGE  \* Arabic  \* MERGEFORMAT </w:instrText>
    </w:r>
    <w:r w:rsidRPr="00340BF4">
      <w:rPr>
        <w:rFonts w:eastAsia="Calibri" w:cs="Times New Roman"/>
        <w:b/>
        <w:i/>
        <w:sz w:val="22"/>
      </w:rPr>
      <w:fldChar w:fldCharType="separate"/>
    </w:r>
    <w:r w:rsidR="00614D81">
      <w:rPr>
        <w:rFonts w:eastAsia="Calibri" w:cs="Times New Roman"/>
        <w:b/>
        <w:i/>
        <w:noProof/>
        <w:sz w:val="22"/>
      </w:rPr>
      <w:t>2</w:t>
    </w:r>
    <w:r w:rsidRPr="00340BF4">
      <w:rPr>
        <w:rFonts w:eastAsia="Calibri" w:cs="Times New Roman"/>
        <w:b/>
        <w:i/>
        <w:sz w:val="22"/>
      </w:rPr>
      <w:fldChar w:fldCharType="end"/>
    </w:r>
    <w:r w:rsidRPr="00340BF4">
      <w:rPr>
        <w:rFonts w:eastAsia="Calibri" w:cs="Times New Roman"/>
        <w:i/>
        <w:sz w:val="22"/>
      </w:rPr>
      <w:t xml:space="preserve"> of </w:t>
    </w:r>
    <w:r w:rsidRPr="00340BF4">
      <w:rPr>
        <w:rFonts w:eastAsia="Calibri" w:cs="Times New Roman"/>
        <w:b/>
        <w:i/>
        <w:sz w:val="22"/>
      </w:rPr>
      <w:fldChar w:fldCharType="begin"/>
    </w:r>
    <w:r w:rsidRPr="00340BF4">
      <w:rPr>
        <w:rFonts w:eastAsia="Calibri" w:cs="Times New Roman"/>
        <w:b/>
        <w:i/>
        <w:sz w:val="22"/>
      </w:rPr>
      <w:instrText xml:space="preserve"> NUMPAGES  \* Arabic  \* MERGEFORMAT </w:instrText>
    </w:r>
    <w:r w:rsidRPr="00340BF4">
      <w:rPr>
        <w:rFonts w:eastAsia="Calibri" w:cs="Times New Roman"/>
        <w:b/>
        <w:i/>
        <w:sz w:val="22"/>
      </w:rPr>
      <w:fldChar w:fldCharType="separate"/>
    </w:r>
    <w:r w:rsidR="00614D81">
      <w:rPr>
        <w:rFonts w:eastAsia="Calibri" w:cs="Times New Roman"/>
        <w:b/>
        <w:i/>
        <w:noProof/>
        <w:sz w:val="22"/>
      </w:rPr>
      <w:t>5</w:t>
    </w:r>
    <w:r w:rsidRPr="00340BF4">
      <w:rPr>
        <w:rFonts w:eastAsia="Calibri" w:cs="Times New Roman"/>
        <w:b/>
        <w:i/>
        <w:sz w:val="22"/>
      </w:rPr>
      <w:fldChar w:fldCharType="end"/>
    </w:r>
  </w:p>
  <w:p w:rsidR="00E50AB5" w:rsidRDefault="00E50AB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b/>
        <w:i/>
        <w:sz w:val="22"/>
      </w:rPr>
    </w:pPr>
  </w:p>
  <w:p w:rsidR="00E50AB5" w:rsidRPr="00683D09" w:rsidRDefault="00E50AB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95" w:rsidRDefault="003F739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  <w:r w:rsidRPr="00683D09">
      <w:rPr>
        <w:rFonts w:eastAsia="Calibri" w:cs="Times New Roman"/>
        <w:i/>
        <w:sz w:val="22"/>
      </w:rPr>
      <w:t>Oregon Department of Education | July 2013</w:t>
    </w:r>
    <w:r w:rsidR="00340BF4">
      <w:rPr>
        <w:rFonts w:eastAsia="Calibri" w:cs="Times New Roman"/>
        <w:i/>
        <w:sz w:val="22"/>
      </w:rPr>
      <w:tab/>
    </w:r>
    <w:r w:rsidR="00340BF4">
      <w:rPr>
        <w:rFonts w:eastAsia="Calibri" w:cs="Times New Roman"/>
        <w:i/>
        <w:sz w:val="22"/>
      </w:rPr>
      <w:tab/>
    </w:r>
    <w:r w:rsidR="00340BF4" w:rsidRPr="00340BF4">
      <w:rPr>
        <w:rFonts w:eastAsia="Calibri" w:cs="Times New Roman"/>
        <w:i/>
        <w:sz w:val="22"/>
      </w:rPr>
      <w:t xml:space="preserve">Page </w:t>
    </w:r>
    <w:r w:rsidR="00340BF4" w:rsidRPr="00340BF4">
      <w:rPr>
        <w:rFonts w:eastAsia="Calibri" w:cs="Times New Roman"/>
        <w:b/>
        <w:i/>
        <w:sz w:val="22"/>
      </w:rPr>
      <w:fldChar w:fldCharType="begin"/>
    </w:r>
    <w:r w:rsidR="00340BF4" w:rsidRPr="00340BF4">
      <w:rPr>
        <w:rFonts w:eastAsia="Calibri" w:cs="Times New Roman"/>
        <w:b/>
        <w:i/>
        <w:sz w:val="22"/>
      </w:rPr>
      <w:instrText xml:space="preserve"> PAGE  \* Arabic  \* MERGEFORMAT </w:instrText>
    </w:r>
    <w:r w:rsidR="00340BF4" w:rsidRPr="00340BF4">
      <w:rPr>
        <w:rFonts w:eastAsia="Calibri" w:cs="Times New Roman"/>
        <w:b/>
        <w:i/>
        <w:sz w:val="22"/>
      </w:rPr>
      <w:fldChar w:fldCharType="separate"/>
    </w:r>
    <w:r w:rsidR="006C0AB1">
      <w:rPr>
        <w:rFonts w:eastAsia="Calibri" w:cs="Times New Roman"/>
        <w:b/>
        <w:i/>
        <w:noProof/>
        <w:sz w:val="22"/>
      </w:rPr>
      <w:t>5</w:t>
    </w:r>
    <w:r w:rsidR="00340BF4" w:rsidRPr="00340BF4">
      <w:rPr>
        <w:rFonts w:eastAsia="Calibri" w:cs="Times New Roman"/>
        <w:b/>
        <w:i/>
        <w:sz w:val="22"/>
      </w:rPr>
      <w:fldChar w:fldCharType="end"/>
    </w:r>
    <w:r w:rsidR="00340BF4" w:rsidRPr="00340BF4">
      <w:rPr>
        <w:rFonts w:eastAsia="Calibri" w:cs="Times New Roman"/>
        <w:i/>
        <w:sz w:val="22"/>
      </w:rPr>
      <w:t xml:space="preserve"> of </w:t>
    </w:r>
    <w:r w:rsidR="00340BF4" w:rsidRPr="00340BF4">
      <w:rPr>
        <w:rFonts w:eastAsia="Calibri" w:cs="Times New Roman"/>
        <w:b/>
        <w:i/>
        <w:sz w:val="22"/>
      </w:rPr>
      <w:fldChar w:fldCharType="begin"/>
    </w:r>
    <w:r w:rsidR="00340BF4" w:rsidRPr="00340BF4">
      <w:rPr>
        <w:rFonts w:eastAsia="Calibri" w:cs="Times New Roman"/>
        <w:b/>
        <w:i/>
        <w:sz w:val="22"/>
      </w:rPr>
      <w:instrText xml:space="preserve"> NUMPAGES  \* Arabic  \* MERGEFORMAT </w:instrText>
    </w:r>
    <w:r w:rsidR="00340BF4" w:rsidRPr="00340BF4">
      <w:rPr>
        <w:rFonts w:eastAsia="Calibri" w:cs="Times New Roman"/>
        <w:b/>
        <w:i/>
        <w:sz w:val="22"/>
      </w:rPr>
      <w:fldChar w:fldCharType="separate"/>
    </w:r>
    <w:r w:rsidR="006C0AB1">
      <w:rPr>
        <w:rFonts w:eastAsia="Calibri" w:cs="Times New Roman"/>
        <w:b/>
        <w:i/>
        <w:noProof/>
        <w:sz w:val="22"/>
      </w:rPr>
      <w:t>5</w:t>
    </w:r>
    <w:r w:rsidR="00340BF4" w:rsidRPr="00340BF4">
      <w:rPr>
        <w:rFonts w:eastAsia="Calibri" w:cs="Times New Roman"/>
        <w:b/>
        <w:i/>
        <w:sz w:val="22"/>
      </w:rPr>
      <w:fldChar w:fldCharType="end"/>
    </w:r>
  </w:p>
  <w:p w:rsidR="003F7395" w:rsidRPr="00683D09" w:rsidRDefault="003F7395" w:rsidP="00361D1B">
    <w:pPr>
      <w:tabs>
        <w:tab w:val="center" w:pos="4680"/>
        <w:tab w:val="right" w:pos="9360"/>
      </w:tabs>
      <w:spacing w:after="0"/>
      <w:jc w:val="both"/>
      <w:rPr>
        <w:rFonts w:eastAsia="Calibri" w:cs="Times New Roman"/>
        <w:i/>
        <w:sz w:val="22"/>
      </w:rPr>
    </w:pPr>
    <w:r>
      <w:rPr>
        <w:rFonts w:eastAsia="Calibri" w:cs="Times New Roman"/>
        <w:i/>
        <w:sz w:val="22"/>
      </w:rPr>
      <w:t>The Oregon Department of Education is an equa</w:t>
    </w:r>
    <w:r w:rsidR="00340BF4">
      <w:rPr>
        <w:rFonts w:eastAsia="Calibri" w:cs="Times New Roman"/>
        <w:i/>
        <w:sz w:val="22"/>
      </w:rPr>
      <w:t>l opportunity agency and employe</w:t>
    </w:r>
    <w:r>
      <w:rPr>
        <w:rFonts w:eastAsia="Calibri" w:cs="Times New Roman"/>
        <w:i/>
        <w:sz w:val="22"/>
      </w:rPr>
      <w:t>r.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B1" w:rsidRDefault="006C0AB1">
    <w:pPr>
      <w:pStyle w:val="Footer"/>
      <w:rPr>
        <w:i/>
      </w:rPr>
    </w:pPr>
  </w:p>
  <w:p w:rsidR="006C0AB1" w:rsidRDefault="006C0AB1">
    <w:pPr>
      <w:pStyle w:val="Footer"/>
      <w:rPr>
        <w:b/>
      </w:rPr>
    </w:pPr>
    <w:r w:rsidRPr="006C0AB1">
      <w:rPr>
        <w:i/>
      </w:rPr>
      <w:t>Oregon Department of Education | July 2013</w:t>
    </w:r>
    <w:r>
      <w:t xml:space="preserve"> 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14D81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14D81">
      <w:rPr>
        <w:b/>
        <w:noProof/>
      </w:rPr>
      <w:t>5</w:t>
    </w:r>
    <w:r>
      <w:rPr>
        <w:b/>
      </w:rPr>
      <w:fldChar w:fldCharType="end"/>
    </w:r>
  </w:p>
  <w:p w:rsidR="006C0AB1" w:rsidRDefault="006C0AB1">
    <w:pPr>
      <w:pStyle w:val="Footer"/>
      <w:rPr>
        <w:b/>
      </w:rPr>
    </w:pPr>
  </w:p>
  <w:p w:rsidR="006C0AB1" w:rsidRPr="00BE5AB0" w:rsidRDefault="006C0AB1" w:rsidP="006C0AB1">
    <w:pPr>
      <w:tabs>
        <w:tab w:val="right" w:pos="5040"/>
      </w:tabs>
      <w:ind w:left="-54"/>
      <w:rPr>
        <w:rFonts w:ascii="Tahoma" w:eastAsia="Times New Roman" w:hAnsi="Tahoma" w:cs="Tahoma"/>
        <w:i/>
        <w:sz w:val="20"/>
        <w:szCs w:val="20"/>
      </w:rPr>
    </w:pPr>
    <w:r w:rsidRPr="00BE5AB0">
      <w:rPr>
        <w:rFonts w:ascii="Tahoma" w:eastAsia="Times New Roman" w:hAnsi="Tahoma" w:cs="Tahoma"/>
        <w:bCs/>
        <w:i/>
        <w:sz w:val="20"/>
        <w:szCs w:val="24"/>
      </w:rPr>
      <w:t>The Oregon Department of Education is an equal opportunity agency and employer.</w:t>
    </w:r>
  </w:p>
  <w:p w:rsidR="006C0AB1" w:rsidRPr="00806003" w:rsidRDefault="006C0AB1" w:rsidP="006C0AB1">
    <w:pPr>
      <w:pStyle w:val="Footer"/>
      <w:rPr>
        <w:bCs/>
        <w:i/>
        <w:iCs/>
        <w:sz w:val="18"/>
      </w:rPr>
    </w:pPr>
    <w:r w:rsidRPr="00806003">
      <w:rPr>
        <w:bCs/>
        <w:i/>
        <w:iCs/>
        <w:sz w:val="18"/>
      </w:rPr>
      <w:t>.</w:t>
    </w:r>
  </w:p>
  <w:p w:rsidR="006C0AB1" w:rsidRDefault="006C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E9" w:rsidRDefault="007F61E9" w:rsidP="00361D1B">
      <w:pPr>
        <w:spacing w:after="0"/>
      </w:pPr>
      <w:r>
        <w:separator/>
      </w:r>
    </w:p>
  </w:footnote>
  <w:footnote w:type="continuationSeparator" w:id="0">
    <w:p w:rsidR="007F61E9" w:rsidRDefault="007F61E9" w:rsidP="00361D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A98"/>
    <w:multiLevelType w:val="hybridMultilevel"/>
    <w:tmpl w:val="D52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E92"/>
    <w:multiLevelType w:val="hybridMultilevel"/>
    <w:tmpl w:val="6E7A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970E8"/>
    <w:multiLevelType w:val="hybridMultilevel"/>
    <w:tmpl w:val="8D4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78A4"/>
    <w:multiLevelType w:val="hybridMultilevel"/>
    <w:tmpl w:val="21B6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0F58"/>
    <w:multiLevelType w:val="hybridMultilevel"/>
    <w:tmpl w:val="CAC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7F6D"/>
    <w:multiLevelType w:val="hybridMultilevel"/>
    <w:tmpl w:val="B9B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48E9"/>
    <w:multiLevelType w:val="hybridMultilevel"/>
    <w:tmpl w:val="BBD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D4438"/>
    <w:multiLevelType w:val="hybridMultilevel"/>
    <w:tmpl w:val="A95E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22AA4"/>
    <w:multiLevelType w:val="hybridMultilevel"/>
    <w:tmpl w:val="1B84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C452A"/>
    <w:multiLevelType w:val="hybridMultilevel"/>
    <w:tmpl w:val="41AA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027AB"/>
    <w:multiLevelType w:val="hybridMultilevel"/>
    <w:tmpl w:val="082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A7B"/>
    <w:multiLevelType w:val="hybridMultilevel"/>
    <w:tmpl w:val="A39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42"/>
    <w:rsid w:val="00097720"/>
    <w:rsid w:val="00172DB5"/>
    <w:rsid w:val="00340BF4"/>
    <w:rsid w:val="00361D1B"/>
    <w:rsid w:val="0037341E"/>
    <w:rsid w:val="003F7395"/>
    <w:rsid w:val="005A2CF4"/>
    <w:rsid w:val="006129A2"/>
    <w:rsid w:val="00614D81"/>
    <w:rsid w:val="00636042"/>
    <w:rsid w:val="006C0AB1"/>
    <w:rsid w:val="006D36FE"/>
    <w:rsid w:val="00730531"/>
    <w:rsid w:val="007F0E0C"/>
    <w:rsid w:val="007F61E9"/>
    <w:rsid w:val="00854810"/>
    <w:rsid w:val="0091190C"/>
    <w:rsid w:val="009C4526"/>
    <w:rsid w:val="00AC206A"/>
    <w:rsid w:val="00AC3B61"/>
    <w:rsid w:val="00B76F82"/>
    <w:rsid w:val="00BA50BF"/>
    <w:rsid w:val="00C537AD"/>
    <w:rsid w:val="00C77B28"/>
    <w:rsid w:val="00CE2EE8"/>
    <w:rsid w:val="00CE52F5"/>
    <w:rsid w:val="00DC11A1"/>
    <w:rsid w:val="00DD3D88"/>
    <w:rsid w:val="00E33127"/>
    <w:rsid w:val="00E50AB5"/>
    <w:rsid w:val="00E800B2"/>
    <w:rsid w:val="00EB169C"/>
    <w:rsid w:val="00ED2753"/>
    <w:rsid w:val="00F2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CF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11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9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D1B"/>
  </w:style>
  <w:style w:type="paragraph" w:styleId="Footer">
    <w:name w:val="footer"/>
    <w:basedOn w:val="Normal"/>
    <w:link w:val="FooterChar"/>
    <w:uiPriority w:val="99"/>
    <w:unhideWhenUsed/>
    <w:rsid w:val="00361D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CF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11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9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D1B"/>
  </w:style>
  <w:style w:type="paragraph" w:styleId="Footer">
    <w:name w:val="footer"/>
    <w:basedOn w:val="Normal"/>
    <w:link w:val="FooterChar"/>
    <w:uiPriority w:val="99"/>
    <w:unhideWhenUsed/>
    <w:rsid w:val="00361D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3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de.state.or.us/wma/teachlearn/cte/cterevitalizatongrant/cterevitpowerpoint2013.p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WWJzfExO1ZU&amp;list=PLNRIMmunfxvJ96-fP3xN_MvjSQF8hC-G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Tom</dc:creator>
  <cp:lastModifiedBy>NELSON Terri</cp:lastModifiedBy>
  <cp:revision>2</cp:revision>
  <cp:lastPrinted>2013-07-23T23:12:00Z</cp:lastPrinted>
  <dcterms:created xsi:type="dcterms:W3CDTF">2013-08-07T15:52:00Z</dcterms:created>
  <dcterms:modified xsi:type="dcterms:W3CDTF">2013-08-07T15:52:00Z</dcterms:modified>
</cp:coreProperties>
</file>